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FA5A2" w14:textId="486F3AD5" w:rsidR="007B5566" w:rsidRPr="007B5566" w:rsidRDefault="007B5566" w:rsidP="007B5566">
      <w:pPr>
        <w:widowControl w:val="0"/>
        <w:tabs>
          <w:tab w:val="right" w:pos="9639"/>
        </w:tabs>
        <w:overflowPunct w:val="0"/>
        <w:autoSpaceDE w:val="0"/>
        <w:autoSpaceDN w:val="0"/>
        <w:adjustRightInd w:val="0"/>
        <w:spacing w:after="0"/>
        <w:textAlignment w:val="baseline"/>
        <w:rPr>
          <w:rFonts w:ascii="Arial" w:hAnsi="Arial"/>
          <w:b/>
          <w:bCs/>
          <w:i/>
          <w:sz w:val="24"/>
          <w:szCs w:val="24"/>
          <w:lang w:eastAsia="ja-JP"/>
        </w:rPr>
      </w:pPr>
      <w:r w:rsidRPr="007B5566">
        <w:rPr>
          <w:rFonts w:ascii="Arial" w:hAnsi="Arial"/>
          <w:b/>
          <w:bCs/>
          <w:sz w:val="24"/>
          <w:szCs w:val="24"/>
          <w:lang w:eastAsia="ja-JP"/>
        </w:rPr>
        <w:t>3GPP T</w:t>
      </w:r>
      <w:bookmarkStart w:id="0" w:name="_Ref452454252"/>
      <w:bookmarkEnd w:id="0"/>
      <w:r w:rsidRPr="007B5566">
        <w:rPr>
          <w:rFonts w:ascii="Arial" w:hAnsi="Arial"/>
          <w:b/>
          <w:bCs/>
          <w:sz w:val="24"/>
          <w:szCs w:val="24"/>
          <w:lang w:eastAsia="ja-JP"/>
        </w:rPr>
        <w:t xml:space="preserve">SG-RAN </w:t>
      </w:r>
      <w:r w:rsidRPr="007B5566">
        <w:rPr>
          <w:rFonts w:ascii="Arial" w:hAnsi="Arial"/>
          <w:b/>
          <w:sz w:val="24"/>
          <w:szCs w:val="24"/>
          <w:lang w:eastAsia="ja-JP"/>
        </w:rPr>
        <w:t>WG2 #99</w:t>
      </w:r>
      <w:r w:rsidRPr="007B5566">
        <w:rPr>
          <w:rFonts w:ascii="Arial" w:hAnsi="Arial"/>
          <w:b/>
          <w:bCs/>
          <w:sz w:val="24"/>
          <w:szCs w:val="24"/>
          <w:lang w:eastAsia="ja-JP"/>
        </w:rPr>
        <w:tab/>
      </w:r>
      <w:r w:rsidR="004E07C7" w:rsidRPr="004E07C7">
        <w:rPr>
          <w:rFonts w:ascii="Arial" w:hAnsi="Arial"/>
          <w:b/>
          <w:bCs/>
          <w:sz w:val="24"/>
          <w:szCs w:val="24"/>
          <w:lang w:eastAsia="ja-JP"/>
        </w:rPr>
        <w:t>R2-1708680</w:t>
      </w:r>
    </w:p>
    <w:p w14:paraId="5592174F" w14:textId="77777777" w:rsidR="007B5566" w:rsidRPr="007B5566" w:rsidRDefault="007B5566" w:rsidP="007B5566">
      <w:pPr>
        <w:widowControl w:val="0"/>
        <w:tabs>
          <w:tab w:val="right" w:pos="9639"/>
        </w:tabs>
        <w:overflowPunct w:val="0"/>
        <w:autoSpaceDE w:val="0"/>
        <w:autoSpaceDN w:val="0"/>
        <w:adjustRightInd w:val="0"/>
        <w:spacing w:after="0"/>
        <w:textAlignment w:val="baseline"/>
        <w:rPr>
          <w:rFonts w:ascii="Arial" w:hAnsi="Arial"/>
          <w:b/>
          <w:bCs/>
          <w:sz w:val="24"/>
          <w:szCs w:val="24"/>
          <w:lang w:eastAsia="ja-JP"/>
        </w:rPr>
      </w:pPr>
      <w:r w:rsidRPr="007B5566">
        <w:rPr>
          <w:rFonts w:ascii="Arial" w:eastAsia="SimSun" w:hAnsi="Arial"/>
          <w:b/>
          <w:sz w:val="24"/>
          <w:szCs w:val="24"/>
          <w:lang w:eastAsia="zh-CN"/>
        </w:rPr>
        <w:t>Berlin, Germany, 21 - 25 August 2017</w:t>
      </w:r>
    </w:p>
    <w:p w14:paraId="3629126C" w14:textId="77777777" w:rsidR="0002621E" w:rsidRPr="000B1588" w:rsidRDefault="0002621E" w:rsidP="00CD4C7B">
      <w:pPr>
        <w:pStyle w:val="Header"/>
        <w:rPr>
          <w:bCs/>
          <w:noProof w:val="0"/>
          <w:sz w:val="24"/>
          <w:lang w:val="en-US"/>
        </w:rPr>
      </w:pPr>
    </w:p>
    <w:p w14:paraId="7A321F1D" w14:textId="77777777" w:rsidR="00CD4C7B" w:rsidRPr="000B1588" w:rsidRDefault="00CD4C7B" w:rsidP="00CD4C7B">
      <w:pPr>
        <w:pStyle w:val="Header"/>
        <w:rPr>
          <w:bCs/>
          <w:noProof w:val="0"/>
          <w:sz w:val="24"/>
          <w:lang w:val="en-US"/>
        </w:rPr>
      </w:pPr>
    </w:p>
    <w:p w14:paraId="6FE09238" w14:textId="15C7BED6" w:rsidR="00CD4C7B" w:rsidRPr="000B1588" w:rsidRDefault="00CD4C7B" w:rsidP="00CD4C7B">
      <w:pPr>
        <w:pStyle w:val="CRCoverPage"/>
        <w:tabs>
          <w:tab w:val="left" w:pos="1985"/>
        </w:tabs>
        <w:rPr>
          <w:rFonts w:cs="Arial"/>
          <w:b/>
          <w:bCs/>
          <w:sz w:val="24"/>
          <w:lang w:val="en-US" w:eastAsia="ja-JP"/>
        </w:rPr>
      </w:pPr>
      <w:r w:rsidRPr="000B1588">
        <w:rPr>
          <w:rFonts w:cs="Arial"/>
          <w:b/>
          <w:bCs/>
          <w:sz w:val="24"/>
          <w:lang w:val="en-US"/>
        </w:rPr>
        <w:t>Agenda item:</w:t>
      </w:r>
      <w:r w:rsidRPr="000B1588">
        <w:rPr>
          <w:rFonts w:cs="Arial"/>
          <w:b/>
          <w:bCs/>
          <w:sz w:val="24"/>
          <w:lang w:val="en-US"/>
        </w:rPr>
        <w:tab/>
      </w:r>
      <w:r w:rsidR="007B5566">
        <w:rPr>
          <w:rFonts w:cs="Arial"/>
          <w:b/>
          <w:bCs/>
          <w:sz w:val="24"/>
          <w:lang w:val="en-US"/>
        </w:rPr>
        <w:t>10.2.8</w:t>
      </w:r>
    </w:p>
    <w:p w14:paraId="155663C2" w14:textId="26CBC484"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F465C2">
        <w:rPr>
          <w:rFonts w:ascii="Arial" w:hAnsi="Arial" w:cs="Arial"/>
          <w:b/>
          <w:bCs/>
          <w:sz w:val="24"/>
        </w:rPr>
        <w:t>Nokia</w:t>
      </w:r>
      <w:bookmarkStart w:id="1" w:name="_GoBack"/>
      <w:bookmarkEnd w:id="1"/>
      <w:r w:rsidR="00090468">
        <w:rPr>
          <w:rFonts w:ascii="Arial" w:hAnsi="Arial" w:cs="Arial"/>
          <w:b/>
          <w:bCs/>
          <w:sz w:val="24"/>
        </w:rPr>
        <w:t xml:space="preserve"> Shanghai Bell</w:t>
      </w:r>
    </w:p>
    <w:p w14:paraId="2E3DD53B" w14:textId="0E465A7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B5566" w:rsidRPr="00280F2B">
        <w:rPr>
          <w:rFonts w:ascii="Arial" w:hAnsi="Arial" w:cs="Arial"/>
          <w:b/>
          <w:bCs/>
          <w:sz w:val="24"/>
        </w:rPr>
        <w:t>PCI confusion issue</w:t>
      </w:r>
    </w:p>
    <w:p w14:paraId="07F81108"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2B20E10" w14:textId="77777777" w:rsidR="00CD4C7B" w:rsidRPr="006E13D1" w:rsidRDefault="00CD4C7B" w:rsidP="00CD4C7B">
      <w:pPr>
        <w:pStyle w:val="Heading1"/>
      </w:pPr>
      <w:r w:rsidRPr="006E13D1">
        <w:t>1</w:t>
      </w:r>
      <w:r w:rsidRPr="006E13D1">
        <w:tab/>
      </w:r>
      <w:r w:rsidR="0056573F">
        <w:t>Introduction</w:t>
      </w:r>
    </w:p>
    <w:p w14:paraId="5B810D32" w14:textId="0C23E278" w:rsidR="00AE5525" w:rsidRPr="009C593D" w:rsidRDefault="00245349" w:rsidP="007B5566">
      <w:pPr>
        <w:overflowPunct w:val="0"/>
        <w:autoSpaceDE w:val="0"/>
        <w:autoSpaceDN w:val="0"/>
        <w:adjustRightInd w:val="0"/>
        <w:jc w:val="both"/>
        <w:textAlignment w:val="baseline"/>
        <w:rPr>
          <w:rFonts w:eastAsia="MS Mincho"/>
          <w:lang w:val="en-US" w:eastAsia="ja-JP"/>
        </w:rPr>
      </w:pPr>
      <w:r>
        <w:rPr>
          <w:rFonts w:eastAsia="MS Mincho"/>
          <w:lang w:val="en-US" w:eastAsia="ja-JP"/>
        </w:rPr>
        <w:t xml:space="preserve">The </w:t>
      </w:r>
      <w:r w:rsidR="006611D3" w:rsidRPr="006611D3">
        <w:rPr>
          <w:rFonts w:eastAsia="MS Mincho"/>
          <w:i/>
          <w:lang w:val="en-US" w:eastAsia="ja-JP"/>
        </w:rPr>
        <w:t>C</w:t>
      </w:r>
      <w:r w:rsidR="00744590" w:rsidRPr="00A30345">
        <w:rPr>
          <w:rFonts w:eastAsia="MS Mincho"/>
          <w:i/>
          <w:lang w:val="en-US" w:eastAsia="ja-JP"/>
        </w:rPr>
        <w:t xml:space="preserve">ell </w:t>
      </w:r>
      <w:r w:rsidR="009C593D" w:rsidRPr="00A30345">
        <w:rPr>
          <w:rFonts w:eastAsia="MS Mincho"/>
          <w:i/>
          <w:lang w:val="en-US" w:eastAsia="ja-JP"/>
        </w:rPr>
        <w:t>G</w:t>
      </w:r>
      <w:r w:rsidR="00A86139" w:rsidRPr="00A30345">
        <w:rPr>
          <w:rFonts w:eastAsia="MS Mincho"/>
          <w:i/>
          <w:lang w:val="en-US" w:eastAsia="ja-JP"/>
        </w:rPr>
        <w:t xml:space="preserve">lobal </w:t>
      </w:r>
      <w:r w:rsidR="00A30345" w:rsidRPr="00A30345">
        <w:rPr>
          <w:rFonts w:eastAsia="MS Mincho"/>
          <w:i/>
          <w:lang w:val="en-US" w:eastAsia="ja-JP"/>
        </w:rPr>
        <w:t>I</w:t>
      </w:r>
      <w:r w:rsidR="00A86139" w:rsidRPr="00A30345">
        <w:rPr>
          <w:rFonts w:eastAsia="MS Mincho"/>
          <w:i/>
          <w:lang w:val="en-US" w:eastAsia="ja-JP"/>
        </w:rPr>
        <w:t>dentity</w:t>
      </w:r>
      <w:r w:rsidR="00A86139" w:rsidRPr="009C593D">
        <w:rPr>
          <w:rFonts w:eastAsia="MS Mincho"/>
          <w:lang w:val="en-US" w:eastAsia="ja-JP"/>
        </w:rPr>
        <w:t xml:space="preserve"> </w:t>
      </w:r>
      <w:r w:rsidR="009C593D" w:rsidRPr="009C593D">
        <w:rPr>
          <w:rFonts w:eastAsia="MS Mincho"/>
          <w:lang w:val="en-US" w:eastAsia="ja-JP"/>
        </w:rPr>
        <w:t>(CGI</w:t>
      </w:r>
      <w:r w:rsidR="00671849">
        <w:rPr>
          <w:rFonts w:eastAsia="MS Mincho"/>
          <w:lang w:val="en-US" w:eastAsia="ja-JP"/>
        </w:rPr>
        <w:t>; ECGI in LTE</w:t>
      </w:r>
      <w:r w:rsidR="009C593D" w:rsidRPr="009C593D">
        <w:rPr>
          <w:rFonts w:eastAsia="MS Mincho"/>
          <w:lang w:val="en-US" w:eastAsia="ja-JP"/>
        </w:rPr>
        <w:t xml:space="preserve">) </w:t>
      </w:r>
      <w:r w:rsidR="00A86139" w:rsidRPr="009C593D">
        <w:rPr>
          <w:rFonts w:eastAsia="MS Mincho"/>
          <w:lang w:val="en-US" w:eastAsia="ja-JP"/>
        </w:rPr>
        <w:t xml:space="preserve">is a basic information for </w:t>
      </w:r>
      <w:r w:rsidR="006611D3">
        <w:rPr>
          <w:rFonts w:eastAsia="MS Mincho"/>
          <w:lang w:val="en-US" w:eastAsia="ja-JP"/>
        </w:rPr>
        <w:t>a</w:t>
      </w:r>
      <w:r w:rsidR="009C593D" w:rsidRPr="009C593D">
        <w:rPr>
          <w:rFonts w:eastAsia="MS Mincho"/>
          <w:lang w:val="en-US" w:eastAsia="ja-JP"/>
        </w:rPr>
        <w:t xml:space="preserve"> UE’s </w:t>
      </w:r>
      <w:r w:rsidR="00A86139" w:rsidRPr="009C593D">
        <w:rPr>
          <w:rFonts w:eastAsia="MS Mincho"/>
          <w:lang w:val="en-US" w:eastAsia="ja-JP"/>
        </w:rPr>
        <w:t xml:space="preserve">source node for </w:t>
      </w:r>
      <w:r w:rsidR="00AE5525" w:rsidRPr="009C593D">
        <w:rPr>
          <w:rFonts w:eastAsia="MS Mincho"/>
          <w:lang w:val="en-US" w:eastAsia="ja-JP"/>
        </w:rPr>
        <w:t xml:space="preserve">handing over seamlessly </w:t>
      </w:r>
      <w:r w:rsidR="006611D3">
        <w:rPr>
          <w:rFonts w:eastAsia="MS Mincho"/>
          <w:lang w:val="en-US" w:eastAsia="ja-JP"/>
        </w:rPr>
        <w:t>the</w:t>
      </w:r>
      <w:r w:rsidR="006B78C7">
        <w:rPr>
          <w:rFonts w:eastAsia="MS Mincho"/>
          <w:lang w:val="en-US" w:eastAsia="ja-JP"/>
        </w:rPr>
        <w:t xml:space="preserve"> </w:t>
      </w:r>
      <w:r w:rsidR="00AE5525" w:rsidRPr="009C593D">
        <w:rPr>
          <w:rFonts w:eastAsia="MS Mincho"/>
          <w:lang w:val="en-US" w:eastAsia="ja-JP"/>
        </w:rPr>
        <w:t>RRC connection to th</w:t>
      </w:r>
      <w:r w:rsidR="009C593D" w:rsidRPr="009C593D">
        <w:rPr>
          <w:rFonts w:eastAsia="MS Mincho"/>
          <w:lang w:val="en-US" w:eastAsia="ja-JP"/>
        </w:rPr>
        <w:t>e</w:t>
      </w:r>
      <w:r w:rsidR="00AE5525" w:rsidRPr="009C593D">
        <w:rPr>
          <w:rFonts w:eastAsia="MS Mincho"/>
          <w:lang w:val="en-US" w:eastAsia="ja-JP"/>
        </w:rPr>
        <w:t xml:space="preserve"> </w:t>
      </w:r>
      <w:r w:rsidR="009C593D" w:rsidRPr="009C593D">
        <w:rPr>
          <w:rFonts w:eastAsia="MS Mincho"/>
          <w:lang w:val="en-US" w:eastAsia="ja-JP"/>
        </w:rPr>
        <w:t xml:space="preserve">selected target </w:t>
      </w:r>
      <w:r w:rsidR="00AE5525" w:rsidRPr="009C593D">
        <w:rPr>
          <w:rFonts w:eastAsia="MS Mincho"/>
          <w:lang w:val="en-US" w:eastAsia="ja-JP"/>
        </w:rPr>
        <w:t>cell</w:t>
      </w:r>
      <w:r w:rsidR="00B029BB">
        <w:rPr>
          <w:rFonts w:eastAsia="MS Mincho"/>
          <w:lang w:val="en-US" w:eastAsia="ja-JP"/>
        </w:rPr>
        <w:t xml:space="preserve"> or</w:t>
      </w:r>
      <w:r w:rsidR="00750BC0">
        <w:rPr>
          <w:rFonts w:eastAsia="MS Mincho"/>
          <w:lang w:val="en-US" w:eastAsia="ja-JP"/>
        </w:rPr>
        <w:t xml:space="preserve"> </w:t>
      </w:r>
      <w:r w:rsidR="00AE5525" w:rsidRPr="009C593D">
        <w:rPr>
          <w:rFonts w:eastAsia="MS Mincho"/>
          <w:lang w:val="en-US" w:eastAsia="ja-JP"/>
        </w:rPr>
        <w:t xml:space="preserve">for </w:t>
      </w:r>
      <w:r w:rsidR="00A86139" w:rsidRPr="009C593D">
        <w:rPr>
          <w:rFonts w:eastAsia="MS Mincho"/>
          <w:lang w:val="en-US" w:eastAsia="ja-JP"/>
        </w:rPr>
        <w:t xml:space="preserve">adding </w:t>
      </w:r>
      <w:r w:rsidR="00750BC0">
        <w:rPr>
          <w:rFonts w:eastAsia="MS Mincho"/>
          <w:lang w:val="en-US" w:eastAsia="ja-JP"/>
        </w:rPr>
        <w:t>the target cell</w:t>
      </w:r>
      <w:r w:rsidR="00AE5525" w:rsidRPr="009C593D">
        <w:rPr>
          <w:rFonts w:eastAsia="MS Mincho"/>
          <w:lang w:val="en-US" w:eastAsia="ja-JP"/>
        </w:rPr>
        <w:t xml:space="preserve"> as</w:t>
      </w:r>
      <w:r w:rsidR="009C593D" w:rsidRPr="009C593D">
        <w:rPr>
          <w:rFonts w:eastAsia="MS Mincho"/>
          <w:lang w:val="en-US" w:eastAsia="ja-JP"/>
        </w:rPr>
        <w:t xml:space="preserve"> an </w:t>
      </w:r>
      <w:r w:rsidR="00A86139" w:rsidRPr="009C593D">
        <w:rPr>
          <w:rFonts w:eastAsia="MS Mincho"/>
          <w:lang w:val="en-US" w:eastAsia="ja-JP"/>
        </w:rPr>
        <w:t xml:space="preserve">additional </w:t>
      </w:r>
      <w:r w:rsidR="009C593D" w:rsidRPr="009C593D">
        <w:rPr>
          <w:rFonts w:eastAsia="MS Mincho"/>
          <w:lang w:val="en-US" w:eastAsia="ja-JP"/>
        </w:rPr>
        <w:t>UE serving cell</w:t>
      </w:r>
      <w:r w:rsidR="00AE5525" w:rsidRPr="009C593D">
        <w:rPr>
          <w:rFonts w:eastAsia="MS Mincho"/>
          <w:lang w:val="en-US" w:eastAsia="ja-JP"/>
        </w:rPr>
        <w:t xml:space="preserve"> </w:t>
      </w:r>
      <w:r w:rsidR="009C593D" w:rsidRPr="009C593D">
        <w:rPr>
          <w:rFonts w:eastAsia="MS Mincho"/>
          <w:lang w:val="en-US" w:eastAsia="ja-JP"/>
        </w:rPr>
        <w:t>in</w:t>
      </w:r>
      <w:r w:rsidR="00AE5525" w:rsidRPr="009C593D">
        <w:rPr>
          <w:rFonts w:eastAsia="MS Mincho"/>
          <w:lang w:val="en-US" w:eastAsia="ja-JP"/>
        </w:rPr>
        <w:t xml:space="preserve"> </w:t>
      </w:r>
      <w:r w:rsidR="00AE5525" w:rsidRPr="008165AD">
        <w:rPr>
          <w:rFonts w:eastAsia="MS Mincho"/>
          <w:lang w:val="en-US" w:eastAsia="ja-JP"/>
        </w:rPr>
        <w:t>Dual Connectivity</w:t>
      </w:r>
      <w:r w:rsidR="00382590" w:rsidRPr="008165AD">
        <w:rPr>
          <w:rFonts w:eastAsia="MS Mincho"/>
          <w:lang w:val="en-US" w:eastAsia="ja-JP"/>
        </w:rPr>
        <w:t xml:space="preserve"> (DC)</w:t>
      </w:r>
      <w:r w:rsidR="00AE5525" w:rsidRPr="009C593D">
        <w:rPr>
          <w:rFonts w:eastAsia="MS Mincho"/>
          <w:lang w:val="en-US" w:eastAsia="ja-JP"/>
        </w:rPr>
        <w:t>.</w:t>
      </w:r>
      <w:r w:rsidR="00382590">
        <w:rPr>
          <w:rFonts w:eastAsia="MS Mincho"/>
          <w:lang w:val="en-US" w:eastAsia="ja-JP"/>
        </w:rPr>
        <w:t xml:space="preserve"> </w:t>
      </w:r>
    </w:p>
    <w:p w14:paraId="4B9E3841" w14:textId="31B2854B" w:rsidR="00AE5525" w:rsidRDefault="00AE5525" w:rsidP="007B5566">
      <w:pPr>
        <w:overflowPunct w:val="0"/>
        <w:autoSpaceDE w:val="0"/>
        <w:autoSpaceDN w:val="0"/>
        <w:adjustRightInd w:val="0"/>
        <w:jc w:val="both"/>
        <w:textAlignment w:val="baseline"/>
        <w:rPr>
          <w:rFonts w:eastAsia="MS Mincho"/>
          <w:lang w:val="en-US" w:eastAsia="ja-JP"/>
        </w:rPr>
      </w:pPr>
      <w:r w:rsidRPr="009C593D">
        <w:rPr>
          <w:rFonts w:eastAsia="MS Mincho"/>
          <w:lang w:val="en-US" w:eastAsia="ja-JP"/>
        </w:rPr>
        <w:t xml:space="preserve">The target cell is generally </w:t>
      </w:r>
      <w:r w:rsidR="004233F9">
        <w:rPr>
          <w:rFonts w:eastAsia="MS Mincho"/>
          <w:lang w:val="en-US" w:eastAsia="ja-JP"/>
        </w:rPr>
        <w:t xml:space="preserve">(unless </w:t>
      </w:r>
      <w:r w:rsidR="00E22A4D">
        <w:rPr>
          <w:rFonts w:eastAsia="MS Mincho"/>
          <w:lang w:val="en-US" w:eastAsia="ja-JP"/>
        </w:rPr>
        <w:t xml:space="preserve">in case </w:t>
      </w:r>
      <w:r w:rsidR="004233F9">
        <w:rPr>
          <w:rFonts w:eastAsia="MS Mincho"/>
          <w:lang w:val="en-US" w:eastAsia="ja-JP"/>
        </w:rPr>
        <w:t xml:space="preserve">of “blind” </w:t>
      </w:r>
      <w:r w:rsidR="00744590">
        <w:rPr>
          <w:rFonts w:eastAsia="MS Mincho"/>
          <w:lang w:val="en-US" w:eastAsia="ja-JP"/>
        </w:rPr>
        <w:t xml:space="preserve">cell </w:t>
      </w:r>
      <w:r w:rsidR="004233F9">
        <w:rPr>
          <w:rFonts w:eastAsia="MS Mincho"/>
          <w:lang w:val="en-US" w:eastAsia="ja-JP"/>
        </w:rPr>
        <w:t xml:space="preserve">selection) </w:t>
      </w:r>
      <w:r w:rsidRPr="009C593D">
        <w:rPr>
          <w:rFonts w:eastAsia="MS Mincho"/>
          <w:lang w:val="en-US" w:eastAsia="ja-JP"/>
        </w:rPr>
        <w:t xml:space="preserve">identified </w:t>
      </w:r>
      <w:r w:rsidR="009C593D" w:rsidRPr="009C593D">
        <w:rPr>
          <w:rFonts w:eastAsia="MS Mincho"/>
          <w:lang w:val="en-US" w:eastAsia="ja-JP"/>
        </w:rPr>
        <w:t xml:space="preserve">by </w:t>
      </w:r>
      <w:r w:rsidR="00B029BB">
        <w:rPr>
          <w:rFonts w:eastAsia="MS Mincho"/>
          <w:lang w:val="en-US" w:eastAsia="ja-JP"/>
        </w:rPr>
        <w:t>the</w:t>
      </w:r>
      <w:r w:rsidRPr="009C593D">
        <w:rPr>
          <w:rFonts w:eastAsia="MS Mincho"/>
          <w:lang w:val="en-US" w:eastAsia="ja-JP"/>
        </w:rPr>
        <w:t xml:space="preserve"> </w:t>
      </w:r>
      <w:r w:rsidR="00A30345">
        <w:rPr>
          <w:rFonts w:eastAsia="MS Mincho"/>
          <w:i/>
          <w:lang w:val="en-US" w:eastAsia="ja-JP"/>
        </w:rPr>
        <w:t>P</w:t>
      </w:r>
      <w:r w:rsidRPr="00A30345">
        <w:rPr>
          <w:rFonts w:eastAsia="MS Mincho"/>
          <w:i/>
          <w:lang w:val="en-US" w:eastAsia="ja-JP"/>
        </w:rPr>
        <w:t xml:space="preserve">hysical </w:t>
      </w:r>
      <w:r w:rsidR="00A30345">
        <w:rPr>
          <w:rFonts w:eastAsia="MS Mincho"/>
          <w:i/>
          <w:lang w:val="en-US" w:eastAsia="ja-JP"/>
        </w:rPr>
        <w:t>Cell I</w:t>
      </w:r>
      <w:r w:rsidRPr="00A30345">
        <w:rPr>
          <w:rFonts w:eastAsia="MS Mincho"/>
          <w:i/>
          <w:lang w:val="en-US" w:eastAsia="ja-JP"/>
        </w:rPr>
        <w:t>denti</w:t>
      </w:r>
      <w:r w:rsidR="009C593D" w:rsidRPr="00A30345">
        <w:rPr>
          <w:rFonts w:eastAsia="MS Mincho"/>
          <w:i/>
          <w:lang w:val="en-US" w:eastAsia="ja-JP"/>
        </w:rPr>
        <w:t>t</w:t>
      </w:r>
      <w:r w:rsidRPr="00A30345">
        <w:rPr>
          <w:rFonts w:eastAsia="MS Mincho"/>
          <w:i/>
          <w:lang w:val="en-US" w:eastAsia="ja-JP"/>
        </w:rPr>
        <w:t>y</w:t>
      </w:r>
      <w:r w:rsidRPr="009C593D">
        <w:rPr>
          <w:rFonts w:eastAsia="MS Mincho"/>
          <w:lang w:val="en-US" w:eastAsia="ja-JP"/>
        </w:rPr>
        <w:t xml:space="preserve"> (PCI</w:t>
      </w:r>
      <w:r w:rsidR="00A30345">
        <w:rPr>
          <w:rFonts w:eastAsia="MS Mincho"/>
          <w:lang w:val="en-US" w:eastAsia="ja-JP"/>
        </w:rPr>
        <w:t>)</w:t>
      </w:r>
      <w:r w:rsidR="009C593D" w:rsidRPr="009C593D">
        <w:rPr>
          <w:rFonts w:eastAsia="MS Mincho"/>
          <w:lang w:val="en-US" w:eastAsia="ja-JP"/>
        </w:rPr>
        <w:t xml:space="preserve"> and frequency </w:t>
      </w:r>
      <w:r w:rsidR="00C5602C">
        <w:rPr>
          <w:rFonts w:eastAsia="MS Mincho"/>
          <w:lang w:val="en-US" w:eastAsia="ja-JP"/>
        </w:rPr>
        <w:t>reported by the</w:t>
      </w:r>
      <w:r w:rsidR="009C593D" w:rsidRPr="009C593D">
        <w:rPr>
          <w:rFonts w:eastAsia="MS Mincho"/>
          <w:lang w:val="en-US" w:eastAsia="ja-JP"/>
        </w:rPr>
        <w:t xml:space="preserve"> UE </w:t>
      </w:r>
      <w:r w:rsidR="00A30345">
        <w:rPr>
          <w:rFonts w:eastAsia="MS Mincho"/>
          <w:lang w:val="en-US" w:eastAsia="ja-JP"/>
        </w:rPr>
        <w:t xml:space="preserve">with a </w:t>
      </w:r>
      <w:r w:rsidR="00DC14BB">
        <w:rPr>
          <w:rFonts w:eastAsia="MS Mincho"/>
          <w:lang w:val="en-US" w:eastAsia="ja-JP"/>
        </w:rPr>
        <w:t>Layer</w:t>
      </w:r>
      <w:r w:rsidR="00671849">
        <w:rPr>
          <w:rFonts w:eastAsia="MS Mincho"/>
          <w:lang w:val="en-US" w:eastAsia="ja-JP"/>
        </w:rPr>
        <w:t>-</w:t>
      </w:r>
      <w:r w:rsidR="00DC14BB">
        <w:rPr>
          <w:rFonts w:eastAsia="MS Mincho"/>
          <w:lang w:val="en-US" w:eastAsia="ja-JP"/>
        </w:rPr>
        <w:t xml:space="preserve">3 </w:t>
      </w:r>
      <w:r w:rsidR="009C593D" w:rsidRPr="009C593D">
        <w:rPr>
          <w:rFonts w:eastAsia="MS Mincho"/>
          <w:lang w:val="en-US" w:eastAsia="ja-JP"/>
        </w:rPr>
        <w:t>measurement report</w:t>
      </w:r>
      <w:r w:rsidR="000216EE">
        <w:rPr>
          <w:rFonts w:eastAsia="MS Mincho"/>
          <w:lang w:val="en-US" w:eastAsia="ja-JP"/>
        </w:rPr>
        <w:t xml:space="preserve"> (e.g. B1 or B2 event measurement report in LTE)</w:t>
      </w:r>
      <w:r w:rsidR="009C593D" w:rsidRPr="009C593D">
        <w:rPr>
          <w:rFonts w:eastAsia="MS Mincho"/>
          <w:lang w:val="en-US" w:eastAsia="ja-JP"/>
        </w:rPr>
        <w:t xml:space="preserve">, under the assumption that the source node can associate </w:t>
      </w:r>
      <w:r w:rsidR="00A30345">
        <w:rPr>
          <w:rFonts w:eastAsia="MS Mincho"/>
          <w:lang w:val="en-US" w:eastAsia="ja-JP"/>
        </w:rPr>
        <w:t xml:space="preserve">that PCI and frequency </w:t>
      </w:r>
      <w:r w:rsidR="00245349">
        <w:rPr>
          <w:rFonts w:eastAsia="MS Mincho"/>
          <w:lang w:val="en-US" w:eastAsia="ja-JP"/>
        </w:rPr>
        <w:t xml:space="preserve">to a </w:t>
      </w:r>
      <w:r w:rsidR="004233F9">
        <w:rPr>
          <w:rFonts w:eastAsia="MS Mincho"/>
          <w:lang w:val="en-US" w:eastAsia="ja-JP"/>
        </w:rPr>
        <w:t xml:space="preserve">unique </w:t>
      </w:r>
      <w:r w:rsidR="009C593D" w:rsidRPr="009C593D">
        <w:rPr>
          <w:rFonts w:eastAsia="MS Mincho"/>
          <w:lang w:val="en-US" w:eastAsia="ja-JP"/>
        </w:rPr>
        <w:t>CGI.</w:t>
      </w:r>
    </w:p>
    <w:p w14:paraId="329A46A2" w14:textId="5A494803" w:rsidR="00744590" w:rsidRDefault="00750BC0" w:rsidP="007B5566">
      <w:pPr>
        <w:overflowPunct w:val="0"/>
        <w:autoSpaceDE w:val="0"/>
        <w:autoSpaceDN w:val="0"/>
        <w:adjustRightInd w:val="0"/>
        <w:jc w:val="both"/>
        <w:textAlignment w:val="baseline"/>
        <w:rPr>
          <w:rFonts w:eastAsia="MS Mincho"/>
          <w:lang w:val="en-US" w:eastAsia="ja-JP"/>
        </w:rPr>
      </w:pPr>
      <w:r>
        <w:rPr>
          <w:rFonts w:eastAsia="MS Mincho"/>
          <w:lang w:val="en-US" w:eastAsia="ja-JP"/>
        </w:rPr>
        <w:t xml:space="preserve">The binding between </w:t>
      </w:r>
      <w:r w:rsidR="006611D3">
        <w:rPr>
          <w:rFonts w:eastAsia="MS Mincho"/>
          <w:lang w:val="en-US" w:eastAsia="ja-JP"/>
        </w:rPr>
        <w:t>the</w:t>
      </w:r>
      <w:r>
        <w:rPr>
          <w:rFonts w:eastAsia="MS Mincho"/>
          <w:lang w:val="en-US" w:eastAsia="ja-JP"/>
        </w:rPr>
        <w:t xml:space="preserve"> </w:t>
      </w:r>
      <w:r w:rsidR="00A30345">
        <w:rPr>
          <w:rFonts w:eastAsia="MS Mincho"/>
          <w:lang w:val="en-US" w:eastAsia="ja-JP"/>
        </w:rPr>
        <w:t>(PCI; frequency)</w:t>
      </w:r>
      <w:r>
        <w:rPr>
          <w:rFonts w:eastAsia="MS Mincho"/>
          <w:lang w:val="en-US" w:eastAsia="ja-JP"/>
        </w:rPr>
        <w:t xml:space="preserve"> and </w:t>
      </w:r>
      <w:r w:rsidR="006611D3">
        <w:rPr>
          <w:rFonts w:eastAsia="MS Mincho"/>
          <w:lang w:val="en-US" w:eastAsia="ja-JP"/>
        </w:rPr>
        <w:t>the</w:t>
      </w:r>
      <w:r>
        <w:rPr>
          <w:rFonts w:eastAsia="MS Mincho"/>
          <w:lang w:val="en-US" w:eastAsia="ja-JP"/>
        </w:rPr>
        <w:t xml:space="preserve"> CGI </w:t>
      </w:r>
      <w:r w:rsidR="00C5602C">
        <w:rPr>
          <w:rFonts w:eastAsia="MS Mincho"/>
          <w:lang w:val="en-US" w:eastAsia="ja-JP"/>
        </w:rPr>
        <w:t xml:space="preserve">can </w:t>
      </w:r>
      <w:r w:rsidR="005B098C">
        <w:rPr>
          <w:rFonts w:eastAsia="MS Mincho"/>
          <w:lang w:val="en-US" w:eastAsia="ja-JP"/>
        </w:rPr>
        <w:t xml:space="preserve">be </w:t>
      </w:r>
      <w:r w:rsidR="00744590">
        <w:rPr>
          <w:rFonts w:eastAsia="MS Mincho"/>
          <w:lang w:val="en-US" w:eastAsia="ja-JP"/>
        </w:rPr>
        <w:t xml:space="preserve">obtained </w:t>
      </w:r>
      <w:r w:rsidR="005B098C">
        <w:rPr>
          <w:rFonts w:eastAsia="MS Mincho"/>
          <w:lang w:val="en-US" w:eastAsia="ja-JP"/>
        </w:rPr>
        <w:t>in</w:t>
      </w:r>
      <w:r w:rsidR="00744590">
        <w:rPr>
          <w:rFonts w:eastAsia="MS Mincho"/>
          <w:lang w:val="en-US" w:eastAsia="ja-JP"/>
        </w:rPr>
        <w:t xml:space="preserve"> </w:t>
      </w:r>
      <w:r w:rsidR="005B098C">
        <w:rPr>
          <w:rFonts w:eastAsia="MS Mincho"/>
          <w:lang w:val="en-US" w:eastAsia="ja-JP"/>
        </w:rPr>
        <w:t>one</w:t>
      </w:r>
      <w:r w:rsidR="00744590">
        <w:rPr>
          <w:rFonts w:eastAsia="MS Mincho"/>
          <w:lang w:val="en-US" w:eastAsia="ja-JP"/>
        </w:rPr>
        <w:t xml:space="preserve"> </w:t>
      </w:r>
      <w:r w:rsidR="00B029BB">
        <w:rPr>
          <w:rFonts w:eastAsia="MS Mincho"/>
          <w:lang w:val="en-US" w:eastAsia="ja-JP"/>
        </w:rPr>
        <w:t xml:space="preserve">of </w:t>
      </w:r>
      <w:r w:rsidR="005D39CA">
        <w:rPr>
          <w:rFonts w:eastAsia="MS Mincho"/>
          <w:lang w:val="en-US" w:eastAsia="ja-JP"/>
        </w:rPr>
        <w:t xml:space="preserve">(or a combination of) </w:t>
      </w:r>
      <w:r w:rsidR="005B098C">
        <w:rPr>
          <w:rFonts w:eastAsia="MS Mincho"/>
          <w:lang w:val="en-US" w:eastAsia="ja-JP"/>
        </w:rPr>
        <w:t>the following</w:t>
      </w:r>
      <w:r w:rsidR="00744590">
        <w:rPr>
          <w:rFonts w:eastAsia="MS Mincho"/>
          <w:lang w:val="en-US" w:eastAsia="ja-JP"/>
        </w:rPr>
        <w:t xml:space="preserve"> ways</w:t>
      </w:r>
      <w:r w:rsidR="005B098C">
        <w:rPr>
          <w:rFonts w:eastAsia="MS Mincho"/>
          <w:lang w:val="en-US" w:eastAsia="ja-JP"/>
        </w:rPr>
        <w:t>:</w:t>
      </w:r>
    </w:p>
    <w:p w14:paraId="13A1B5CC" w14:textId="2540CD79" w:rsidR="005B098C" w:rsidRDefault="005B098C" w:rsidP="007B5566">
      <w:pPr>
        <w:overflowPunct w:val="0"/>
        <w:autoSpaceDE w:val="0"/>
        <w:autoSpaceDN w:val="0"/>
        <w:adjustRightInd w:val="0"/>
        <w:ind w:left="142"/>
        <w:textAlignment w:val="baseline"/>
        <w:rPr>
          <w:rFonts w:eastAsia="MS Mincho"/>
          <w:lang w:val="en-US" w:eastAsia="ja-JP"/>
        </w:rPr>
      </w:pPr>
      <w:r>
        <w:rPr>
          <w:rFonts w:eastAsia="MS Mincho"/>
          <w:lang w:val="en-US" w:eastAsia="ja-JP"/>
        </w:rPr>
        <w:t xml:space="preserve">(1): It is </w:t>
      </w:r>
      <w:r w:rsidR="00C5602C">
        <w:rPr>
          <w:rFonts w:eastAsia="MS Mincho"/>
          <w:lang w:val="en-US" w:eastAsia="ja-JP"/>
        </w:rPr>
        <w:t>provided via O&amp;M configuration</w:t>
      </w:r>
      <w:r w:rsidR="00B029BB">
        <w:rPr>
          <w:rFonts w:eastAsia="MS Mincho"/>
          <w:lang w:val="en-US" w:eastAsia="ja-JP"/>
        </w:rPr>
        <w:t>;</w:t>
      </w:r>
      <w:r w:rsidR="006B78C7">
        <w:rPr>
          <w:rFonts w:eastAsia="MS Mincho"/>
          <w:lang w:val="en-US" w:eastAsia="ja-JP"/>
        </w:rPr>
        <w:t xml:space="preserve"> </w:t>
      </w:r>
      <w:r w:rsidR="004233F9">
        <w:rPr>
          <w:rFonts w:eastAsia="MS Mincho"/>
          <w:lang w:val="en-US" w:eastAsia="ja-JP"/>
        </w:rPr>
        <w:br/>
      </w:r>
      <w:r>
        <w:rPr>
          <w:rFonts w:eastAsia="MS Mincho"/>
          <w:lang w:val="en-US" w:eastAsia="ja-JP"/>
        </w:rPr>
        <w:t xml:space="preserve">(2): It is </w:t>
      </w:r>
      <w:r w:rsidR="006B78C7">
        <w:rPr>
          <w:rFonts w:eastAsia="MS Mincho"/>
          <w:lang w:val="en-US" w:eastAsia="ja-JP"/>
        </w:rPr>
        <w:t xml:space="preserve">received as served cell information from the peer node over </w:t>
      </w:r>
      <w:r w:rsidR="004D213F">
        <w:rPr>
          <w:rFonts w:eastAsia="MS Mincho"/>
          <w:lang w:val="en-US" w:eastAsia="ja-JP"/>
        </w:rPr>
        <w:t>a</w:t>
      </w:r>
      <w:r w:rsidR="00AE1A2A">
        <w:rPr>
          <w:rFonts w:eastAsia="MS Mincho"/>
          <w:lang w:val="en-US" w:eastAsia="ja-JP"/>
        </w:rPr>
        <w:t>n established</w:t>
      </w:r>
      <w:r w:rsidR="006B78C7">
        <w:rPr>
          <w:rFonts w:eastAsia="MS Mincho"/>
          <w:lang w:val="en-US" w:eastAsia="ja-JP"/>
        </w:rPr>
        <w:t xml:space="preserve"> </w:t>
      </w:r>
      <w:r w:rsidR="00744590">
        <w:rPr>
          <w:rFonts w:eastAsia="MS Mincho"/>
          <w:lang w:val="en-US" w:eastAsia="ja-JP"/>
        </w:rPr>
        <w:t>X</w:t>
      </w:r>
      <w:r w:rsidR="00671849">
        <w:rPr>
          <w:rFonts w:eastAsia="MS Mincho"/>
          <w:lang w:val="en-US" w:eastAsia="ja-JP"/>
        </w:rPr>
        <w:t>x</w:t>
      </w:r>
      <w:r w:rsidR="006B78C7">
        <w:rPr>
          <w:rFonts w:eastAsia="MS Mincho"/>
          <w:lang w:val="en-US" w:eastAsia="ja-JP"/>
        </w:rPr>
        <w:t xml:space="preserve"> link</w:t>
      </w:r>
      <w:r>
        <w:rPr>
          <w:rFonts w:eastAsia="MS Mincho"/>
          <w:lang w:val="en-US" w:eastAsia="ja-JP"/>
        </w:rPr>
        <w:t>;</w:t>
      </w:r>
      <w:r w:rsidR="006B78C7">
        <w:rPr>
          <w:rFonts w:eastAsia="MS Mincho"/>
          <w:lang w:val="en-US" w:eastAsia="ja-JP"/>
        </w:rPr>
        <w:t xml:space="preserve"> </w:t>
      </w:r>
      <w:r w:rsidR="004233F9">
        <w:rPr>
          <w:rFonts w:eastAsia="MS Mincho"/>
          <w:lang w:val="en-US" w:eastAsia="ja-JP"/>
        </w:rPr>
        <w:br/>
      </w:r>
      <w:r>
        <w:rPr>
          <w:rFonts w:eastAsia="MS Mincho"/>
          <w:lang w:val="en-US" w:eastAsia="ja-JP"/>
        </w:rPr>
        <w:t>(3): It is</w:t>
      </w:r>
      <w:r w:rsidR="00C5602C">
        <w:rPr>
          <w:rFonts w:eastAsia="MS Mincho"/>
          <w:lang w:val="en-US" w:eastAsia="ja-JP"/>
        </w:rPr>
        <w:t xml:space="preserve"> dynamically created </w:t>
      </w:r>
      <w:r w:rsidR="00A30345">
        <w:rPr>
          <w:rFonts w:eastAsia="MS Mincho"/>
          <w:lang w:val="en-US" w:eastAsia="ja-JP"/>
        </w:rPr>
        <w:t xml:space="preserve">by the </w:t>
      </w:r>
      <w:r w:rsidR="00544422">
        <w:rPr>
          <w:rFonts w:eastAsia="MS Mincho"/>
          <w:lang w:val="en-US" w:eastAsia="ja-JP"/>
        </w:rPr>
        <w:t>eNB/gNB</w:t>
      </w:r>
      <w:r w:rsidR="00A30345">
        <w:rPr>
          <w:rFonts w:eastAsia="MS Mincho"/>
          <w:lang w:val="en-US" w:eastAsia="ja-JP"/>
        </w:rPr>
        <w:t xml:space="preserve"> </w:t>
      </w:r>
      <w:r w:rsidR="00C5602C">
        <w:rPr>
          <w:rFonts w:eastAsia="MS Mincho"/>
          <w:lang w:val="en-US" w:eastAsia="ja-JP"/>
        </w:rPr>
        <w:t xml:space="preserve">with the support of </w:t>
      </w:r>
      <w:r w:rsidR="00963D6F">
        <w:rPr>
          <w:rFonts w:eastAsia="MS Mincho"/>
          <w:lang w:val="en-US" w:eastAsia="ja-JP"/>
        </w:rPr>
        <w:t xml:space="preserve">a sequence of </w:t>
      </w:r>
      <w:r w:rsidR="00A30345">
        <w:rPr>
          <w:rFonts w:eastAsia="MS Mincho"/>
          <w:lang w:val="en-US" w:eastAsia="ja-JP"/>
        </w:rPr>
        <w:t xml:space="preserve">UE </w:t>
      </w:r>
      <w:r w:rsidR="000B557C">
        <w:rPr>
          <w:rFonts w:eastAsia="MS Mincho"/>
          <w:lang w:val="en-US" w:eastAsia="ja-JP"/>
        </w:rPr>
        <w:t>Layer</w:t>
      </w:r>
      <w:r w:rsidR="00671849">
        <w:rPr>
          <w:rFonts w:eastAsia="MS Mincho"/>
          <w:lang w:val="en-US" w:eastAsia="ja-JP"/>
        </w:rPr>
        <w:t>-</w:t>
      </w:r>
      <w:r w:rsidR="000B557C">
        <w:rPr>
          <w:rFonts w:eastAsia="MS Mincho"/>
          <w:lang w:val="en-US" w:eastAsia="ja-JP"/>
        </w:rPr>
        <w:t xml:space="preserve">3 </w:t>
      </w:r>
      <w:r w:rsidR="00A30345">
        <w:rPr>
          <w:rFonts w:eastAsia="MS Mincho"/>
          <w:lang w:val="en-US" w:eastAsia="ja-JP"/>
        </w:rPr>
        <w:t>measurement</w:t>
      </w:r>
      <w:r w:rsidR="00744590">
        <w:rPr>
          <w:rFonts w:eastAsia="MS Mincho"/>
          <w:lang w:val="en-US" w:eastAsia="ja-JP"/>
        </w:rPr>
        <w:t>s (e.g.</w:t>
      </w:r>
      <w:r w:rsidR="00A30345">
        <w:rPr>
          <w:rFonts w:eastAsia="MS Mincho"/>
          <w:lang w:val="en-US" w:eastAsia="ja-JP"/>
        </w:rPr>
        <w:t xml:space="preserve"> </w:t>
      </w:r>
      <w:r w:rsidR="000B557C">
        <w:rPr>
          <w:rFonts w:eastAsia="MS Mincho"/>
          <w:lang w:val="en-US" w:eastAsia="ja-JP"/>
        </w:rPr>
        <w:t xml:space="preserve">PCI measurement report followed by </w:t>
      </w:r>
      <w:r w:rsidR="00744590" w:rsidRPr="005B098C">
        <w:rPr>
          <w:rFonts w:eastAsia="MS Mincho"/>
          <w:i/>
          <w:lang w:val="en-US" w:eastAsia="ja-JP"/>
        </w:rPr>
        <w:t>report</w:t>
      </w:r>
      <w:r w:rsidR="000B557C">
        <w:rPr>
          <w:rFonts w:eastAsia="MS Mincho"/>
          <w:i/>
          <w:lang w:val="en-US" w:eastAsia="ja-JP"/>
        </w:rPr>
        <w:t>CG</w:t>
      </w:r>
      <w:r w:rsidR="007B5566">
        <w:rPr>
          <w:rFonts w:eastAsia="MS Mincho"/>
          <w:i/>
          <w:lang w:val="en-US" w:eastAsia="ja-JP"/>
        </w:rPr>
        <w:t>I</w:t>
      </w:r>
      <w:r w:rsidR="000B557C">
        <w:rPr>
          <w:rFonts w:eastAsia="MS Mincho"/>
          <w:i/>
          <w:lang w:val="en-US" w:eastAsia="ja-JP"/>
        </w:rPr>
        <w:t xml:space="preserve"> </w:t>
      </w:r>
      <w:r w:rsidR="000B557C" w:rsidRPr="000B557C">
        <w:rPr>
          <w:rFonts w:eastAsia="MS Mincho"/>
          <w:lang w:val="en-US" w:eastAsia="ja-JP"/>
        </w:rPr>
        <w:t>measurement</w:t>
      </w:r>
      <w:r w:rsidR="00671849">
        <w:rPr>
          <w:rFonts w:eastAsia="MS Mincho"/>
          <w:lang w:val="en-US" w:eastAsia="ja-JP"/>
        </w:rPr>
        <w:t xml:space="preserve"> in LTE</w:t>
      </w:r>
      <w:r>
        <w:rPr>
          <w:rFonts w:eastAsia="MS Mincho"/>
          <w:lang w:val="en-US" w:eastAsia="ja-JP"/>
        </w:rPr>
        <w:t>)</w:t>
      </w:r>
      <w:r w:rsidR="000B557C">
        <w:rPr>
          <w:rFonts w:eastAsia="MS Mincho"/>
          <w:lang w:val="en-US" w:eastAsia="ja-JP"/>
        </w:rPr>
        <w:t>.</w:t>
      </w:r>
    </w:p>
    <w:p w14:paraId="1075AE68" w14:textId="1764793E" w:rsidR="009D5517" w:rsidRDefault="00AE1A2A" w:rsidP="007B5566">
      <w:pPr>
        <w:overflowPunct w:val="0"/>
        <w:autoSpaceDE w:val="0"/>
        <w:autoSpaceDN w:val="0"/>
        <w:adjustRightInd w:val="0"/>
        <w:jc w:val="both"/>
        <w:textAlignment w:val="baseline"/>
        <w:rPr>
          <w:rFonts w:eastAsia="MS Mincho"/>
          <w:lang w:val="en-US" w:eastAsia="ja-JP"/>
        </w:rPr>
      </w:pPr>
      <w:r>
        <w:rPr>
          <w:rFonts w:eastAsia="MS Mincho"/>
          <w:lang w:val="en-US" w:eastAsia="ja-JP"/>
        </w:rPr>
        <w:t>Whereas both s</w:t>
      </w:r>
      <w:r w:rsidR="00A91416">
        <w:rPr>
          <w:rFonts w:eastAsia="MS Mincho"/>
          <w:lang w:val="en-US" w:eastAsia="ja-JP"/>
        </w:rPr>
        <w:t xml:space="preserve">olution (1) </w:t>
      </w:r>
      <w:r>
        <w:rPr>
          <w:rFonts w:eastAsia="MS Mincho"/>
          <w:lang w:val="en-US" w:eastAsia="ja-JP"/>
        </w:rPr>
        <w:t xml:space="preserve">and solution (2) </w:t>
      </w:r>
      <w:r w:rsidR="00A91416">
        <w:rPr>
          <w:rFonts w:eastAsia="MS Mincho"/>
          <w:lang w:val="en-US" w:eastAsia="ja-JP"/>
        </w:rPr>
        <w:t>require</w:t>
      </w:r>
      <w:r w:rsidR="004D213F">
        <w:rPr>
          <w:rFonts w:eastAsia="MS Mincho"/>
          <w:lang w:val="en-US" w:eastAsia="ja-JP"/>
        </w:rPr>
        <w:t>,</w:t>
      </w:r>
      <w:r>
        <w:rPr>
          <w:rFonts w:eastAsia="MS Mincho"/>
          <w:lang w:val="en-US" w:eastAsia="ja-JP"/>
        </w:rPr>
        <w:t xml:space="preserve"> </w:t>
      </w:r>
      <w:r w:rsidR="00544422">
        <w:rPr>
          <w:rFonts w:eastAsia="MS Mincho"/>
          <w:lang w:val="en-US" w:eastAsia="ja-JP"/>
        </w:rPr>
        <w:t xml:space="preserve">to </w:t>
      </w:r>
      <w:r>
        <w:rPr>
          <w:rFonts w:eastAsia="MS Mincho"/>
          <w:lang w:val="en-US" w:eastAsia="ja-JP"/>
        </w:rPr>
        <w:t>different exten</w:t>
      </w:r>
      <w:r w:rsidR="00544422">
        <w:rPr>
          <w:rFonts w:eastAsia="MS Mincho"/>
          <w:lang w:val="en-US" w:eastAsia="ja-JP"/>
        </w:rPr>
        <w:t>t</w:t>
      </w:r>
      <w:r w:rsidR="004D213F">
        <w:rPr>
          <w:rFonts w:eastAsia="MS Mincho"/>
          <w:lang w:val="en-US" w:eastAsia="ja-JP"/>
        </w:rPr>
        <w:t>,</w:t>
      </w:r>
      <w:r>
        <w:rPr>
          <w:rFonts w:eastAsia="MS Mincho"/>
          <w:lang w:val="en-US" w:eastAsia="ja-JP"/>
        </w:rPr>
        <w:t xml:space="preserve"> </w:t>
      </w:r>
      <w:r w:rsidR="00A91416">
        <w:rPr>
          <w:rFonts w:eastAsia="MS Mincho"/>
          <w:lang w:val="en-US" w:eastAsia="ja-JP"/>
        </w:rPr>
        <w:t>manual configuration</w:t>
      </w:r>
      <w:r>
        <w:rPr>
          <w:rFonts w:eastAsia="MS Mincho"/>
          <w:lang w:val="en-US" w:eastAsia="ja-JP"/>
        </w:rPr>
        <w:t>, solution (3)</w:t>
      </w:r>
      <w:r w:rsidR="00A91416">
        <w:rPr>
          <w:rFonts w:eastAsia="MS Mincho"/>
          <w:lang w:val="en-US" w:eastAsia="ja-JP"/>
        </w:rPr>
        <w:t xml:space="preserve"> </w:t>
      </w:r>
      <w:r w:rsidR="009D5517">
        <w:rPr>
          <w:rFonts w:eastAsia="MS Mincho"/>
          <w:lang w:val="en-US" w:eastAsia="ja-JP"/>
        </w:rPr>
        <w:t>allows</w:t>
      </w:r>
      <w:r>
        <w:rPr>
          <w:rFonts w:eastAsia="MS Mincho"/>
          <w:lang w:val="en-US" w:eastAsia="ja-JP"/>
        </w:rPr>
        <w:t xml:space="preserve"> </w:t>
      </w:r>
      <w:r w:rsidR="009D5517">
        <w:rPr>
          <w:rFonts w:eastAsia="MS Mincho"/>
          <w:lang w:val="en-US" w:eastAsia="ja-JP"/>
        </w:rPr>
        <w:t xml:space="preserve">for </w:t>
      </w:r>
      <w:r w:rsidR="004D213F">
        <w:rPr>
          <w:rFonts w:eastAsia="MS Mincho"/>
          <w:lang w:val="en-US" w:eastAsia="ja-JP"/>
        </w:rPr>
        <w:t>fully</w:t>
      </w:r>
      <w:r>
        <w:rPr>
          <w:rFonts w:eastAsia="MS Mincho"/>
          <w:lang w:val="en-US" w:eastAsia="ja-JP"/>
        </w:rPr>
        <w:t xml:space="preserve"> </w:t>
      </w:r>
      <w:r w:rsidRPr="00544422">
        <w:rPr>
          <w:rFonts w:eastAsia="MS Mincho"/>
          <w:lang w:val="en-US" w:eastAsia="ja-JP"/>
        </w:rPr>
        <w:t>Automatic Neighbor Relation</w:t>
      </w:r>
      <w:r>
        <w:rPr>
          <w:rFonts w:eastAsia="MS Mincho"/>
          <w:lang w:val="en-US" w:eastAsia="ja-JP"/>
        </w:rPr>
        <w:t xml:space="preserve"> (ANR) </w:t>
      </w:r>
      <w:r w:rsidR="009D5517">
        <w:rPr>
          <w:rFonts w:eastAsia="MS Mincho"/>
          <w:lang w:val="en-US" w:eastAsia="ja-JP"/>
        </w:rPr>
        <w:t>creation</w:t>
      </w:r>
      <w:r>
        <w:rPr>
          <w:rFonts w:eastAsia="MS Mincho"/>
          <w:lang w:val="en-US" w:eastAsia="ja-JP"/>
        </w:rPr>
        <w:t xml:space="preserve">. </w:t>
      </w:r>
    </w:p>
    <w:p w14:paraId="4F88456B" w14:textId="0AC79837" w:rsidR="00AE1A2A" w:rsidRDefault="009D5517" w:rsidP="007B5566">
      <w:pPr>
        <w:overflowPunct w:val="0"/>
        <w:autoSpaceDE w:val="0"/>
        <w:autoSpaceDN w:val="0"/>
        <w:adjustRightInd w:val="0"/>
        <w:jc w:val="both"/>
        <w:textAlignment w:val="baseline"/>
        <w:rPr>
          <w:rFonts w:eastAsia="MS Mincho"/>
          <w:lang w:val="en-US" w:eastAsia="ja-JP"/>
        </w:rPr>
      </w:pPr>
      <w:r>
        <w:rPr>
          <w:rFonts w:eastAsia="MS Mincho"/>
          <w:lang w:val="en-US" w:eastAsia="ja-JP"/>
        </w:rPr>
        <w:t xml:space="preserve">Solution (3) </w:t>
      </w:r>
      <w:r w:rsidR="00891AF9">
        <w:rPr>
          <w:rFonts w:eastAsia="MS Mincho"/>
          <w:lang w:val="en-US" w:eastAsia="ja-JP"/>
        </w:rPr>
        <w:t xml:space="preserve">however </w:t>
      </w:r>
      <w:r w:rsidR="00AE1A2A">
        <w:rPr>
          <w:rFonts w:eastAsia="MS Mincho"/>
          <w:lang w:val="en-US" w:eastAsia="ja-JP"/>
        </w:rPr>
        <w:t>work</w:t>
      </w:r>
      <w:r>
        <w:rPr>
          <w:rFonts w:eastAsia="MS Mincho"/>
          <w:lang w:val="en-US" w:eastAsia="ja-JP"/>
        </w:rPr>
        <w:t xml:space="preserve">s only if </w:t>
      </w:r>
      <w:r w:rsidR="00AE1A2A">
        <w:rPr>
          <w:rFonts w:eastAsia="MS Mincho"/>
          <w:lang w:val="en-US" w:eastAsia="ja-JP"/>
        </w:rPr>
        <w:t>the target cell broadcasts</w:t>
      </w:r>
      <w:r>
        <w:rPr>
          <w:rFonts w:eastAsia="MS Mincho"/>
          <w:lang w:val="en-US" w:eastAsia="ja-JP"/>
        </w:rPr>
        <w:t xml:space="preserve"> </w:t>
      </w:r>
      <w:r w:rsidR="00AE1A2A">
        <w:rPr>
          <w:rFonts w:eastAsia="MS Mincho"/>
          <w:lang w:val="en-US" w:eastAsia="ja-JP"/>
        </w:rPr>
        <w:t>its CGI</w:t>
      </w:r>
      <w:r w:rsidR="00671849">
        <w:rPr>
          <w:rFonts w:eastAsia="MS Mincho"/>
          <w:lang w:val="en-US" w:eastAsia="ja-JP"/>
        </w:rPr>
        <w:t xml:space="preserve"> (SIB type 1 in LTE)</w:t>
      </w:r>
      <w:r>
        <w:rPr>
          <w:rFonts w:eastAsia="MS Mincho"/>
          <w:lang w:val="en-US" w:eastAsia="ja-JP"/>
        </w:rPr>
        <w:t xml:space="preserve">, which is not </w:t>
      </w:r>
      <w:r w:rsidR="00BB4E73">
        <w:rPr>
          <w:rFonts w:eastAsia="MS Mincho"/>
          <w:lang w:val="en-US" w:eastAsia="ja-JP"/>
        </w:rPr>
        <w:t xml:space="preserve">the case for </w:t>
      </w:r>
      <w:r w:rsidR="00544422">
        <w:rPr>
          <w:rFonts w:eastAsia="MS Mincho"/>
          <w:lang w:val="en-US" w:eastAsia="ja-JP"/>
        </w:rPr>
        <w:t>the first release</w:t>
      </w:r>
      <w:r w:rsidR="00382590" w:rsidRPr="007B5566">
        <w:rPr>
          <w:rFonts w:eastAsia="MS Mincho"/>
          <w:lang w:val="en-US" w:eastAsia="ja-JP"/>
        </w:rPr>
        <w:t xml:space="preserve"> </w:t>
      </w:r>
      <w:r w:rsidR="00544422">
        <w:rPr>
          <w:rFonts w:eastAsia="MS Mincho"/>
          <w:lang w:val="en-US" w:eastAsia="ja-JP"/>
        </w:rPr>
        <w:t xml:space="preserve">of </w:t>
      </w:r>
      <w:r w:rsidR="007B5566">
        <w:rPr>
          <w:rFonts w:eastAsia="MS Mincho"/>
          <w:lang w:val="en-US" w:eastAsia="ja-JP"/>
        </w:rPr>
        <w:t>Non-</w:t>
      </w:r>
      <w:r w:rsidR="00BB4E73" w:rsidRPr="007B5566">
        <w:rPr>
          <w:rFonts w:eastAsia="MS Mincho"/>
          <w:lang w:val="en-US" w:eastAsia="ja-JP"/>
        </w:rPr>
        <w:t>Stand Alone</w:t>
      </w:r>
      <w:r w:rsidR="00BB4E73">
        <w:rPr>
          <w:rFonts w:eastAsia="MS Mincho"/>
          <w:lang w:val="en-US" w:eastAsia="ja-JP"/>
        </w:rPr>
        <w:t xml:space="preserve"> (NSA) NR</w:t>
      </w:r>
      <w:r w:rsidR="000216EE">
        <w:rPr>
          <w:rFonts w:eastAsia="MS Mincho"/>
          <w:lang w:val="en-US" w:eastAsia="ja-JP"/>
        </w:rPr>
        <w:t xml:space="preserve"> node</w:t>
      </w:r>
      <w:r w:rsidR="005D39CA">
        <w:rPr>
          <w:rFonts w:eastAsia="MS Mincho"/>
          <w:lang w:val="en-US" w:eastAsia="ja-JP"/>
        </w:rPr>
        <w:t xml:space="preserve"> in EN-DC</w:t>
      </w:r>
      <w:r w:rsidR="00BB4E73">
        <w:rPr>
          <w:rFonts w:eastAsia="MS Mincho"/>
          <w:lang w:val="en-US" w:eastAsia="ja-JP"/>
        </w:rPr>
        <w:t xml:space="preserve">, as </w:t>
      </w:r>
      <w:r w:rsidR="008863D3">
        <w:rPr>
          <w:rFonts w:eastAsia="MS Mincho"/>
          <w:lang w:val="en-US" w:eastAsia="ja-JP"/>
        </w:rPr>
        <w:t>per</w:t>
      </w:r>
      <w:r w:rsidR="00BB4E73">
        <w:rPr>
          <w:rFonts w:eastAsia="MS Mincho"/>
          <w:lang w:val="en-US" w:eastAsia="ja-JP"/>
        </w:rPr>
        <w:t xml:space="preserve"> following agreement</w:t>
      </w:r>
      <w:r w:rsidR="00544422">
        <w:rPr>
          <w:rFonts w:eastAsia="MS Mincho"/>
          <w:lang w:val="en-US" w:eastAsia="ja-JP"/>
        </w:rPr>
        <w:t>s</w:t>
      </w:r>
      <w:r w:rsidR="00BB4E73">
        <w:rPr>
          <w:rFonts w:eastAsia="MS Mincho"/>
          <w:lang w:val="en-US" w:eastAsia="ja-JP"/>
        </w:rPr>
        <w:t xml:space="preserve"> in RAN2#97</w:t>
      </w:r>
      <w:r w:rsidR="00544422">
        <w:rPr>
          <w:rFonts w:eastAsia="MS Mincho"/>
          <w:lang w:val="en-US" w:eastAsia="ja-JP"/>
        </w:rPr>
        <w:t xml:space="preserve"> and RAN2-NR#2</w:t>
      </w:r>
      <w:r w:rsidR="00BB4E73">
        <w:rPr>
          <w:rFonts w:eastAsia="MS Mincho"/>
          <w:lang w:val="en-US" w:eastAsia="ja-JP"/>
        </w:rPr>
        <w:t>:</w:t>
      </w:r>
    </w:p>
    <w:p w14:paraId="25EDB258" w14:textId="77777777" w:rsidR="005F40A3" w:rsidRPr="005F40A3" w:rsidRDefault="005F40A3" w:rsidP="00280F2B">
      <w:pPr>
        <w:pStyle w:val="Doc-text2"/>
        <w:pBdr>
          <w:top w:val="single" w:sz="4" w:space="1" w:color="auto"/>
          <w:left w:val="single" w:sz="4" w:space="9" w:color="auto"/>
          <w:bottom w:val="single" w:sz="4" w:space="1" w:color="auto"/>
          <w:right w:val="single" w:sz="4" w:space="4" w:color="auto"/>
        </w:pBdr>
        <w:tabs>
          <w:tab w:val="clear" w:pos="1622"/>
          <w:tab w:val="left" w:pos="1080"/>
        </w:tabs>
        <w:ind w:left="1080"/>
        <w:jc w:val="both"/>
        <w:rPr>
          <w:i/>
        </w:rPr>
      </w:pPr>
      <w:r w:rsidRPr="005F40A3">
        <w:rPr>
          <w:i/>
        </w:rPr>
        <w:t xml:space="preserve">0: </w:t>
      </w:r>
      <w:r w:rsidRPr="005F40A3">
        <w:rPr>
          <w:i/>
        </w:rPr>
        <w:tab/>
      </w:r>
      <w:r w:rsidRPr="00E44716">
        <w:rPr>
          <w:i/>
        </w:rPr>
        <w:t>For EN-DC, the NR SN is not required to broadcast system information other than for timing and SFN.</w:t>
      </w:r>
      <w:r w:rsidRPr="005F40A3">
        <w:rPr>
          <w:i/>
        </w:rPr>
        <w:t xml:space="preserve"> </w:t>
      </w:r>
    </w:p>
    <w:p w14:paraId="2404F679" w14:textId="77777777" w:rsidR="00544422" w:rsidRDefault="00544422" w:rsidP="00544422">
      <w:pPr>
        <w:pStyle w:val="Doc-text2"/>
      </w:pPr>
    </w:p>
    <w:p w14:paraId="04947973" w14:textId="77777777" w:rsidR="00544422" w:rsidRDefault="00544422" w:rsidP="00280F2B">
      <w:pPr>
        <w:pStyle w:val="Doc-text2"/>
        <w:pBdr>
          <w:top w:val="single" w:sz="4" w:space="1" w:color="auto"/>
          <w:left w:val="single" w:sz="4" w:space="4" w:color="auto"/>
          <w:bottom w:val="single" w:sz="4" w:space="1" w:color="auto"/>
          <w:right w:val="single" w:sz="4" w:space="4" w:color="auto"/>
        </w:pBdr>
        <w:ind w:left="993"/>
      </w:pPr>
      <w:r>
        <w:t>1</w:t>
      </w:r>
      <w:r>
        <w:tab/>
        <w:t>LTE inter-RAT ANR framework is extended to cover NR (target to complete this at end of Rel-15, not December 2017)</w:t>
      </w:r>
    </w:p>
    <w:p w14:paraId="4F03D8DD" w14:textId="77777777" w:rsidR="00544422" w:rsidRPr="00F339D7" w:rsidRDefault="00544422" w:rsidP="00544422">
      <w:pPr>
        <w:pStyle w:val="Doc-text2"/>
      </w:pPr>
    </w:p>
    <w:p w14:paraId="100622F9" w14:textId="050DDB52" w:rsidR="00E22A4D" w:rsidRDefault="004D213F" w:rsidP="007B5566">
      <w:pPr>
        <w:jc w:val="both"/>
      </w:pPr>
      <w:r>
        <w:t>As t</w:t>
      </w:r>
      <w:r w:rsidR="00E22A4D">
        <w:t>he advantages fr</w:t>
      </w:r>
      <w:r>
        <w:t>om ANR are well known since LTE</w:t>
      </w:r>
      <w:r w:rsidR="00E22A4D">
        <w:t xml:space="preserve"> whe</w:t>
      </w:r>
      <w:r>
        <w:t>n</w:t>
      </w:r>
      <w:r w:rsidR="00E22A4D">
        <w:t xml:space="preserve"> this functionality has been first introduced</w:t>
      </w:r>
      <w:r>
        <w:t>, i</w:t>
      </w:r>
      <w:r w:rsidR="00E22A4D">
        <w:t xml:space="preserve">t would be </w:t>
      </w:r>
      <w:r w:rsidR="00A72259">
        <w:t xml:space="preserve">beneficial </w:t>
      </w:r>
      <w:r>
        <w:t xml:space="preserve">if it can be </w:t>
      </w:r>
      <w:r w:rsidR="00E22A4D">
        <w:t>appl</w:t>
      </w:r>
      <w:r>
        <w:t>ied also to</w:t>
      </w:r>
      <w:r w:rsidR="00136251">
        <w:t xml:space="preserve"> both NSA and SA deployments of NR</w:t>
      </w:r>
      <w:r w:rsidR="00E22A4D">
        <w:t>.</w:t>
      </w:r>
      <w:r w:rsidR="00F54838">
        <w:t xml:space="preserve"> However</w:t>
      </w:r>
      <w:r w:rsidR="00136251">
        <w:t>, even when ANR solution, similar to that known from LTE, is developed for NR, this will not help in alleviating PCI confusion issue, which is already visible in existing LTE networks and which is very likely to be even more significant in NR</w:t>
      </w:r>
      <w:r w:rsidR="0068503D">
        <w:t xml:space="preserve"> deployments</w:t>
      </w:r>
      <w:r w:rsidR="00136251">
        <w:t>. The following chapter explains the problem and proposes a possible approach to address it.</w:t>
      </w:r>
    </w:p>
    <w:p w14:paraId="6DE665FD" w14:textId="2AF0D0C4" w:rsidR="005F40A3" w:rsidRDefault="005F40A3" w:rsidP="00FD5B5E">
      <w:pPr>
        <w:pStyle w:val="Doc-text2"/>
        <w:ind w:left="0" w:firstLine="0"/>
      </w:pPr>
    </w:p>
    <w:p w14:paraId="6F4BFE7C" w14:textId="002189CB" w:rsidR="00F947F0" w:rsidRDefault="00C25B13" w:rsidP="00F947F0">
      <w:pPr>
        <w:pStyle w:val="Heading1"/>
      </w:pPr>
      <w:r w:rsidRPr="00695041">
        <w:t>2</w:t>
      </w:r>
      <w:r w:rsidR="00F947F0" w:rsidRPr="00695041">
        <w:tab/>
      </w:r>
      <w:r w:rsidR="007B5566" w:rsidRPr="007B5566">
        <w:t>PCI confusion issue</w:t>
      </w:r>
    </w:p>
    <w:p w14:paraId="3F62C8EF" w14:textId="393EDB21" w:rsidR="007B5566" w:rsidRDefault="00E22A4D" w:rsidP="00280F2B">
      <w:pPr>
        <w:jc w:val="both"/>
      </w:pPr>
      <w:r>
        <w:t xml:space="preserve">Usage of the same “PCI” and “carrier frequency” by different cells </w:t>
      </w:r>
      <w:r w:rsidR="005A4393">
        <w:t xml:space="preserve">may </w:t>
      </w:r>
      <w:r>
        <w:t xml:space="preserve">lead to the so called “PCI confusion” problem, i.e. to the situation where a RAN cannot univocally </w:t>
      </w:r>
      <w:r w:rsidR="00A72259">
        <w:t xml:space="preserve">identify </w:t>
      </w:r>
      <w:r w:rsidR="002E007D">
        <w:t>the</w:t>
      </w:r>
      <w:r>
        <w:t xml:space="preserve"> </w:t>
      </w:r>
      <w:r w:rsidR="005A4393">
        <w:t xml:space="preserve">neighbour </w:t>
      </w:r>
      <w:r>
        <w:t xml:space="preserve">cell </w:t>
      </w:r>
      <w:r w:rsidR="002E007D">
        <w:t xml:space="preserve">that </w:t>
      </w:r>
      <w:r>
        <w:t xml:space="preserve">lays behind a given PCI and carrier frequency reported by a UE </w:t>
      </w:r>
      <w:r w:rsidR="002E007D">
        <w:t>in</w:t>
      </w:r>
      <w:r>
        <w:t xml:space="preserve"> a Measurement Report.</w:t>
      </w:r>
      <w:r w:rsidR="001F60EA">
        <w:t xml:space="preserve"> </w:t>
      </w:r>
      <w:r>
        <w:t xml:space="preserve">A UE Measurement Report contains measurement results for (a list of) cells that are identified </w:t>
      </w:r>
      <w:r w:rsidR="002E007D">
        <w:t>by</w:t>
      </w:r>
      <w:r>
        <w:t xml:space="preserve"> the</w:t>
      </w:r>
      <w:r w:rsidR="002E007D">
        <w:t>ir</w:t>
      </w:r>
      <w:r>
        <w:t xml:space="preserve"> respective PCI and carrier frequency.</w:t>
      </w:r>
      <w:r w:rsidR="001F60EA">
        <w:t xml:space="preserve"> </w:t>
      </w:r>
      <w:r>
        <w:t xml:space="preserve">The receiving RAN uses the reported PCIs to select the “best” cell (e.g. the cell measured with better power and/or quality) to add to the UE e.g. </w:t>
      </w:r>
      <w:r w:rsidR="004D213F">
        <w:t xml:space="preserve">as additional serving cell </w:t>
      </w:r>
      <w:r>
        <w:t xml:space="preserve">or as target cell for </w:t>
      </w:r>
      <w:r w:rsidR="004D213F">
        <w:t xml:space="preserve">connection </w:t>
      </w:r>
      <w:r>
        <w:t>handover.</w:t>
      </w:r>
      <w:r w:rsidR="001F60EA">
        <w:t xml:space="preserve"> </w:t>
      </w:r>
      <w:r w:rsidR="001309C9">
        <w:t xml:space="preserve">This works however under the assumption that there is only one neighbour cell operating at that PCI and frequency. This assumption however may not be valid, even with an appropriate PCI planning (see following sections). </w:t>
      </w:r>
      <w:r>
        <w:t xml:space="preserve">If there is “PCI confusion”, the receiving RAN may address the “wrong” cell, with the </w:t>
      </w:r>
      <w:r>
        <w:lastRenderedPageBreak/>
        <w:t>consequence that the cell addition or the connection handover fails.</w:t>
      </w:r>
      <w:r w:rsidR="001F60EA">
        <w:t xml:space="preserve"> </w:t>
      </w:r>
      <w:r w:rsidR="005A4393">
        <w:t xml:space="preserve">A known means for solving </w:t>
      </w:r>
      <w:r w:rsidR="002E007D">
        <w:t>the</w:t>
      </w:r>
      <w:r w:rsidR="005A4393">
        <w:t xml:space="preserve"> PCI confusion would be to </w:t>
      </w:r>
      <w:r w:rsidR="004D213F">
        <w:t>ask the</w:t>
      </w:r>
      <w:r w:rsidR="005A4393">
        <w:t xml:space="preserve"> UE to perform a CGI measurement </w:t>
      </w:r>
      <w:r w:rsidR="002E007D">
        <w:t>for</w:t>
      </w:r>
      <w:r w:rsidR="005A4393">
        <w:t xml:space="preserve"> that PCI, thus </w:t>
      </w:r>
      <w:r w:rsidR="005A4393">
        <w:t>resolving the cell identity ambiguity</w:t>
      </w:r>
      <w:r w:rsidR="001309C9">
        <w:t xml:space="preserve">. However, considering current agreements, this approach will not be available for early NSA deployments and more importantly, even when available, this approach is not the most efficient one for the reasons mentioned </w:t>
      </w:r>
      <w:r w:rsidR="001309C9">
        <w:t>in the subsequent sections.</w:t>
      </w:r>
      <w:r w:rsidR="005A4393">
        <w:t xml:space="preserve"> </w:t>
      </w:r>
    </w:p>
    <w:p w14:paraId="7F81D383" w14:textId="0F12D685" w:rsidR="00040FFC" w:rsidRPr="00040FFC" w:rsidRDefault="007B5566" w:rsidP="007B5566">
      <w:pPr>
        <w:pStyle w:val="Heading2"/>
      </w:pPr>
      <w:r>
        <w:t>2.1</w:t>
      </w:r>
      <w:r w:rsidR="00040FFC" w:rsidRPr="00040FFC">
        <w:tab/>
        <w:t>PCI confusion in LTE</w:t>
      </w:r>
    </w:p>
    <w:p w14:paraId="34FE5C61" w14:textId="1A649045" w:rsidR="002E007D" w:rsidRDefault="00903571" w:rsidP="00280F2B">
      <w:pPr>
        <w:jc w:val="both"/>
      </w:pPr>
      <w:r>
        <w:t xml:space="preserve">Already </w:t>
      </w:r>
      <w:r w:rsidR="007D3CC7">
        <w:t xml:space="preserve">in </w:t>
      </w:r>
      <w:r>
        <w:t xml:space="preserve">LTE, </w:t>
      </w:r>
      <w:r w:rsidR="007D3CC7">
        <w:t xml:space="preserve">it is not an uncommon situation for the LTE cells deployed in </w:t>
      </w:r>
      <w:r>
        <w:t xml:space="preserve">the field </w:t>
      </w:r>
      <w:r w:rsidR="007D3CC7">
        <w:t xml:space="preserve">to </w:t>
      </w:r>
      <w:r>
        <w:t>ha</w:t>
      </w:r>
      <w:r w:rsidR="007D3CC7">
        <w:t>ve</w:t>
      </w:r>
      <w:r>
        <w:t xml:space="preserve"> more than one valid </w:t>
      </w:r>
      <w:r w:rsidR="007D3CC7">
        <w:t xml:space="preserve">Neighbour Cell Relation (NCR) </w:t>
      </w:r>
      <w:r>
        <w:t xml:space="preserve">sharing the same PCI and frequency. This is particularly true in high density urban </w:t>
      </w:r>
      <w:r w:rsidR="009860CF">
        <w:t>deployments</w:t>
      </w:r>
      <w:r w:rsidR="002E007D">
        <w:t xml:space="preserve"> with high PCI reuse,</w:t>
      </w:r>
      <w:r>
        <w:t xml:space="preserve"> </w:t>
      </w:r>
      <w:r w:rsidR="002E007D">
        <w:t xml:space="preserve">and favoured </w:t>
      </w:r>
      <w:r w:rsidR="004D213F">
        <w:t>by</w:t>
      </w:r>
      <w:r w:rsidR="002E007D">
        <w:t xml:space="preserve"> </w:t>
      </w:r>
      <w:r w:rsidR="002F27A6">
        <w:t xml:space="preserve">given </w:t>
      </w:r>
      <w:r w:rsidR="002E007D">
        <w:t>geograph</w:t>
      </w:r>
      <w:r w:rsidR="002F27A6">
        <w:t>ies (e.g. hilly areas or se</w:t>
      </w:r>
      <w:r w:rsidR="00C56006">
        <w:t>a</w:t>
      </w:r>
      <w:r w:rsidR="002F27A6">
        <w:t>side areas)</w:t>
      </w:r>
      <w:r w:rsidR="002E007D">
        <w:t xml:space="preserve"> that ex</w:t>
      </w:r>
      <w:r w:rsidR="002F27A6">
        <w:t>tend</w:t>
      </w:r>
      <w:r w:rsidR="002E007D">
        <w:t xml:space="preserve"> </w:t>
      </w:r>
      <w:r w:rsidR="004D213F">
        <w:t>a</w:t>
      </w:r>
      <w:r w:rsidR="002E007D">
        <w:t xml:space="preserve"> </w:t>
      </w:r>
      <w:r w:rsidR="002F27A6">
        <w:t xml:space="preserve">cell </w:t>
      </w:r>
      <w:r w:rsidR="002E007D">
        <w:t>radio coverage far beyond the expected tier.</w:t>
      </w:r>
    </w:p>
    <w:p w14:paraId="796AC416" w14:textId="1EFF6316" w:rsidR="00960C1D" w:rsidRDefault="00960C1D" w:rsidP="00280F2B">
      <w:pPr>
        <w:ind w:left="1276" w:hanging="1276"/>
        <w:jc w:val="both"/>
      </w:pPr>
      <w:r>
        <w:rPr>
          <w:b/>
        </w:rPr>
        <w:t>Observation 1:</w:t>
      </w:r>
      <w:r>
        <w:tab/>
        <w:t xml:space="preserve"> Use of the same PCI and frequency by multiple neighbour cells may be quite common</w:t>
      </w:r>
      <w:r w:rsidR="00AC413D">
        <w:t>, e.g.</w:t>
      </w:r>
      <w:r>
        <w:t xml:space="preserve"> in high density deployments.</w:t>
      </w:r>
    </w:p>
    <w:p w14:paraId="0FF17782" w14:textId="72302627" w:rsidR="00960C1D" w:rsidRDefault="00960C1D" w:rsidP="00280F2B">
      <w:pPr>
        <w:jc w:val="both"/>
      </w:pPr>
      <w:r>
        <w:t>Depending on where the UE is located, each of such cell</w:t>
      </w:r>
      <w:r w:rsidR="006F55A2">
        <w:t>s</w:t>
      </w:r>
      <w:r>
        <w:t xml:space="preserve"> sharing the same layer 1 identity can be a valid neighbour. Choosing the right cell for the specific UE would require that each UE reporting a “confused” PCI performs a report CGI measurement before any further proceeding, at the cost of additional delay, service performance and UE power consumption.</w:t>
      </w:r>
    </w:p>
    <w:p w14:paraId="1F699F58" w14:textId="77DAD63F" w:rsidR="007B5566" w:rsidRDefault="00960C1D" w:rsidP="00280F2B">
      <w:pPr>
        <w:ind w:left="1418" w:hanging="1418"/>
        <w:jc w:val="both"/>
      </w:pPr>
      <w:r w:rsidRPr="009860CF">
        <w:rPr>
          <w:b/>
        </w:rPr>
        <w:t>Observation 2:</w:t>
      </w:r>
      <w:r>
        <w:tab/>
        <w:t>Triggering a CGI measurement each time a UE reports a “confused” PCI impacts the service performance</w:t>
      </w:r>
      <w:r w:rsidR="00A72259">
        <w:t xml:space="preserve"> and</w:t>
      </w:r>
      <w:r>
        <w:t xml:space="preserve"> </w:t>
      </w:r>
      <w:r w:rsidR="00D41B74">
        <w:t xml:space="preserve">UE’s </w:t>
      </w:r>
      <w:r>
        <w:t>power consumption</w:t>
      </w:r>
      <w:r w:rsidR="00A72259">
        <w:t>,</w:t>
      </w:r>
      <w:r>
        <w:t xml:space="preserve"> add</w:t>
      </w:r>
      <w:r w:rsidR="00A72259">
        <w:t>ing</w:t>
      </w:r>
      <w:r>
        <w:t xml:space="preserve"> delay to the pending RRC procedure.</w:t>
      </w:r>
    </w:p>
    <w:p w14:paraId="711145DC" w14:textId="4BC35390" w:rsidR="00960C1D" w:rsidRDefault="00960C1D" w:rsidP="00960C1D">
      <w:pPr>
        <w:ind w:left="1418" w:hanging="1418"/>
      </w:pPr>
      <w:r>
        <w:t xml:space="preserve"> </w:t>
      </w:r>
    </w:p>
    <w:p w14:paraId="0D9BB2FA" w14:textId="2F0F7F39" w:rsidR="00040FFC" w:rsidRPr="00040FFC" w:rsidRDefault="007B5566" w:rsidP="007B5566">
      <w:pPr>
        <w:pStyle w:val="Heading2"/>
      </w:pPr>
      <w:r>
        <w:t>2.2</w:t>
      </w:r>
      <w:r w:rsidR="00040FFC" w:rsidRPr="00040FFC">
        <w:tab/>
        <w:t>PCI confusion in NR</w:t>
      </w:r>
    </w:p>
    <w:p w14:paraId="7D147FDB" w14:textId="04CCF8EF" w:rsidR="00040FFC" w:rsidRDefault="002F27A6" w:rsidP="00280F2B">
      <w:pPr>
        <w:jc w:val="both"/>
      </w:pPr>
      <w:r>
        <w:t>In</w:t>
      </w:r>
      <w:r w:rsidR="002E007D">
        <w:t xml:space="preserve"> </w:t>
      </w:r>
      <w:r>
        <w:t>NR</w:t>
      </w:r>
      <w:r w:rsidR="00040FFC">
        <w:t xml:space="preserve"> deployments</w:t>
      </w:r>
      <w:r w:rsidR="0068503D">
        <w:t>, confusion-free assignment of NR</w:t>
      </w:r>
      <w:r w:rsidR="00D41B74">
        <w:t>-PCIs per eNB cell becomes increasingly difficult and</w:t>
      </w:r>
      <w:r w:rsidR="00040FFC">
        <w:t xml:space="preserve"> “PCI confusion” </w:t>
      </w:r>
      <w:r w:rsidR="006F55A2">
        <w:t xml:space="preserve">occurrences are </w:t>
      </w:r>
      <w:r w:rsidR="00040FFC">
        <w:t xml:space="preserve">expected to further increase, due to the following reasons: </w:t>
      </w:r>
    </w:p>
    <w:p w14:paraId="567FB6C1" w14:textId="1E1111DC" w:rsidR="00040FFC" w:rsidRDefault="00040FFC" w:rsidP="00280F2B">
      <w:pPr>
        <w:pStyle w:val="ListParagraph"/>
        <w:numPr>
          <w:ilvl w:val="0"/>
          <w:numId w:val="9"/>
        </w:numPr>
        <w:spacing w:after="0"/>
        <w:jc w:val="both"/>
      </w:pPr>
      <w:r>
        <w:t xml:space="preserve">NR-cells in high frequency band (specifically beyond 20 GHz) are very small and their PCIs may frequently be ambiguous </w:t>
      </w:r>
      <w:r w:rsidR="00D00A67">
        <w:t>around</w:t>
      </w:r>
      <w:r>
        <w:t xml:space="preserve"> the area of a</w:t>
      </w:r>
      <w:r w:rsidR="00D00A67">
        <w:t xml:space="preserve"> much</w:t>
      </w:r>
      <w:r>
        <w:t xml:space="preserve"> larger overlapping LTE cell or NR-cell (operating on low frequency bands). </w:t>
      </w:r>
    </w:p>
    <w:p w14:paraId="26CD3F95" w14:textId="50D24FC4" w:rsidR="00040FFC" w:rsidRDefault="00040FFC" w:rsidP="00280F2B">
      <w:pPr>
        <w:pStyle w:val="ListParagraph"/>
        <w:numPr>
          <w:ilvl w:val="0"/>
          <w:numId w:val="9"/>
        </w:numPr>
        <w:spacing w:after="0"/>
        <w:jc w:val="both"/>
      </w:pPr>
      <w:r>
        <w:t xml:space="preserve">With respect to </w:t>
      </w:r>
      <w:r w:rsidR="00A72259">
        <w:t xml:space="preserve">the </w:t>
      </w:r>
      <w:r>
        <w:t>identification of neighbo</w:t>
      </w:r>
      <w:r w:rsidR="00D00A67">
        <w:t>u</w:t>
      </w:r>
      <w:r>
        <w:t xml:space="preserve">r cells, deployments involving high frequency band NR-cells are very similar to HeNB deployments in LTE: </w:t>
      </w:r>
    </w:p>
    <w:p w14:paraId="2B0D0355" w14:textId="77777777" w:rsidR="00040FFC" w:rsidRDefault="00040FFC" w:rsidP="00280F2B">
      <w:pPr>
        <w:pStyle w:val="ListParagraph"/>
        <w:numPr>
          <w:ilvl w:val="1"/>
          <w:numId w:val="9"/>
        </w:numPr>
        <w:spacing w:after="0"/>
        <w:jc w:val="both"/>
      </w:pPr>
      <w:r>
        <w:t>For HeNB deployments, it is acknowledged that - before e.g. a handover can be triggered - UE has to resolve potential ambiguities of PCI/Freq by reporting the ECGI of the measured HeNB to the network.</w:t>
      </w:r>
    </w:p>
    <w:p w14:paraId="05B7FC8F" w14:textId="46768A8B" w:rsidR="00960C1D" w:rsidRDefault="00040FFC" w:rsidP="00280F2B">
      <w:pPr>
        <w:pStyle w:val="ListParagraph"/>
        <w:numPr>
          <w:ilvl w:val="1"/>
          <w:numId w:val="9"/>
        </w:numPr>
        <w:spacing w:after="0"/>
        <w:jc w:val="both"/>
      </w:pPr>
      <w:r>
        <w:t>For deployments involving N</w:t>
      </w:r>
      <w:r w:rsidR="006F55A2">
        <w:t>R</w:t>
      </w:r>
      <w:r>
        <w:t>-cells it is therefore expected that support of handover or MR-DC will require some means to resolve the PCI confusion issues of NR-PCIs.</w:t>
      </w:r>
    </w:p>
    <w:p w14:paraId="3D4A1002" w14:textId="419D163E" w:rsidR="00A72259" w:rsidRDefault="00A72259" w:rsidP="00280F2B">
      <w:pPr>
        <w:pStyle w:val="ListParagraph"/>
        <w:numPr>
          <w:ilvl w:val="0"/>
          <w:numId w:val="9"/>
        </w:numPr>
        <w:spacing w:after="0"/>
        <w:jc w:val="both"/>
      </w:pPr>
      <w:r>
        <w:t>In future, usage of the unlicensed spectrum may require dynamic reconfiguration of the cell operational frequenc</w:t>
      </w:r>
      <w:r w:rsidR="00A23012">
        <w:t>y</w:t>
      </w:r>
      <w:r>
        <w:t>, making</w:t>
      </w:r>
      <w:r w:rsidR="006F55A2">
        <w:t xml:space="preserve"> it</w:t>
      </w:r>
      <w:r>
        <w:t xml:space="preserve"> </w:t>
      </w:r>
      <w:r w:rsidR="00A23012">
        <w:t xml:space="preserve">impossible to keep track of which CGI lays behind a PCI and a frequency. In such case, even the concept of </w:t>
      </w:r>
      <w:r w:rsidR="00D41B74">
        <w:t xml:space="preserve">Neighbour Cell Relation </w:t>
      </w:r>
      <w:r w:rsidR="00A23012">
        <w:t>may drastically change</w:t>
      </w:r>
    </w:p>
    <w:p w14:paraId="7261EB85" w14:textId="1CBFA13C" w:rsidR="00D41B74" w:rsidRDefault="00D41B74" w:rsidP="00280F2B">
      <w:pPr>
        <w:spacing w:after="0"/>
        <w:jc w:val="both"/>
      </w:pPr>
    </w:p>
    <w:p w14:paraId="7E993F6D" w14:textId="693D7A27" w:rsidR="00D41B74" w:rsidRDefault="00D41B74" w:rsidP="00280F2B">
      <w:pPr>
        <w:spacing w:after="0"/>
        <w:jc w:val="center"/>
      </w:pPr>
      <w:r>
        <w:rPr>
          <w:noProof/>
          <w:lang w:val="pl-PL" w:eastAsia="pl-PL"/>
        </w:rPr>
        <w:drawing>
          <wp:inline distT="0" distB="0" distL="0" distR="0" wp14:anchorId="647CC000" wp14:editId="46814B95">
            <wp:extent cx="4925695" cy="156972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25695" cy="1569720"/>
                    </a:xfrm>
                    <a:prstGeom prst="rect">
                      <a:avLst/>
                    </a:prstGeom>
                    <a:noFill/>
                    <a:ln>
                      <a:noFill/>
                    </a:ln>
                  </pic:spPr>
                </pic:pic>
              </a:graphicData>
            </a:graphic>
          </wp:inline>
        </w:drawing>
      </w:r>
    </w:p>
    <w:p w14:paraId="68590646" w14:textId="6E02AC72" w:rsidR="008F4F5D" w:rsidRPr="00280F2B" w:rsidRDefault="00D41B74" w:rsidP="00280F2B">
      <w:pPr>
        <w:pStyle w:val="ListParagraph"/>
        <w:spacing w:after="0"/>
        <w:ind w:left="928"/>
        <w:jc w:val="center"/>
        <w:rPr>
          <w:b/>
        </w:rPr>
      </w:pPr>
      <w:r w:rsidRPr="00280F2B">
        <w:rPr>
          <w:b/>
        </w:rPr>
        <w:t xml:space="preserve">Figure 1 </w:t>
      </w:r>
      <w:r>
        <w:rPr>
          <w:b/>
        </w:rPr>
        <w:t>Illustration of increased number of NR cells visibility within a single LTE cell</w:t>
      </w:r>
    </w:p>
    <w:p w14:paraId="42ACEB60" w14:textId="7ECE999D" w:rsidR="008F4F5D" w:rsidRDefault="008F4F5D" w:rsidP="008F4F5D">
      <w:pPr>
        <w:spacing w:after="0"/>
      </w:pPr>
    </w:p>
    <w:p w14:paraId="3808DD14" w14:textId="07C41F7E" w:rsidR="00960C1D" w:rsidRDefault="00960C1D" w:rsidP="00280F2B">
      <w:pPr>
        <w:spacing w:after="0"/>
        <w:jc w:val="center"/>
      </w:pPr>
    </w:p>
    <w:p w14:paraId="6396AF7D" w14:textId="6D4EDB37" w:rsidR="00040FFC" w:rsidRDefault="00960C1D" w:rsidP="00960C1D">
      <w:pPr>
        <w:spacing w:after="0"/>
        <w:ind w:left="1418" w:hanging="1418"/>
      </w:pPr>
      <w:r w:rsidRPr="00960C1D">
        <w:rPr>
          <w:b/>
        </w:rPr>
        <w:t>Observation 3:</w:t>
      </w:r>
      <w:r w:rsidRPr="00960C1D">
        <w:rPr>
          <w:b/>
        </w:rPr>
        <w:tab/>
      </w:r>
      <w:r w:rsidR="00040FFC">
        <w:t>Support of mobility</w:t>
      </w:r>
      <w:r w:rsidR="00D41B74">
        <w:t xml:space="preserve"> and </w:t>
      </w:r>
      <w:r w:rsidR="00040FFC">
        <w:t xml:space="preserve">MR-DC for deployments involving high frequency band NR-cells requires some solution </w:t>
      </w:r>
      <w:r w:rsidR="00A72259">
        <w:t xml:space="preserve">to </w:t>
      </w:r>
      <w:r w:rsidR="00040FFC">
        <w:t xml:space="preserve">the PCI confusion issue. </w:t>
      </w:r>
    </w:p>
    <w:p w14:paraId="778F7896" w14:textId="7E60A986" w:rsidR="00040FFC" w:rsidRDefault="00040FFC" w:rsidP="009860CF"/>
    <w:p w14:paraId="7ABACD7E" w14:textId="511516BF" w:rsidR="0002621E" w:rsidRDefault="0002621E" w:rsidP="00B029BB">
      <w:pPr>
        <w:pStyle w:val="Doc-text2"/>
        <w:ind w:left="0" w:firstLine="0"/>
      </w:pPr>
    </w:p>
    <w:p w14:paraId="0CB4FE08" w14:textId="31168AA2" w:rsidR="009860CF" w:rsidRPr="00695041" w:rsidRDefault="007B5566" w:rsidP="007B5566">
      <w:pPr>
        <w:pStyle w:val="Heading2"/>
      </w:pPr>
      <w:r>
        <w:lastRenderedPageBreak/>
        <w:t>2.</w:t>
      </w:r>
      <w:r w:rsidR="00AC413D">
        <w:t>3</w:t>
      </w:r>
      <w:r w:rsidR="009860CF" w:rsidRPr="00695041">
        <w:tab/>
        <w:t>Way out</w:t>
      </w:r>
    </w:p>
    <w:p w14:paraId="799F4060" w14:textId="13992990" w:rsidR="008F16FE" w:rsidRDefault="006178D2" w:rsidP="00280F2B">
      <w:pPr>
        <w:jc w:val="both"/>
      </w:pPr>
      <w:r>
        <w:t>An</w:t>
      </w:r>
      <w:r w:rsidR="00695041">
        <w:t xml:space="preserve"> alternative to the CGI resolution and to its drawbacks would be to </w:t>
      </w:r>
      <w:r w:rsidR="0071665B">
        <w:t>define</w:t>
      </w:r>
      <w:r w:rsidR="00695041">
        <w:t xml:space="preserve"> a procedure </w:t>
      </w:r>
      <w:r w:rsidR="0071665B">
        <w:t>by which</w:t>
      </w:r>
      <w:r w:rsidR="00695041">
        <w:t xml:space="preserve"> the </w:t>
      </w:r>
      <w:r>
        <w:t xml:space="preserve">source node </w:t>
      </w:r>
      <w:r w:rsidR="0071665B">
        <w:t xml:space="preserve">can </w:t>
      </w:r>
      <w:r>
        <w:t xml:space="preserve">instruct the </w:t>
      </w:r>
      <w:r w:rsidR="00695041">
        <w:t xml:space="preserve">UE to access </w:t>
      </w:r>
      <w:r>
        <w:t xml:space="preserve">a </w:t>
      </w:r>
      <w:r w:rsidR="00695041">
        <w:t>target cell</w:t>
      </w:r>
      <w:r w:rsidR="008F16FE">
        <w:t xml:space="preserve"> identified by </w:t>
      </w:r>
      <w:r w:rsidR="000B0F8E">
        <w:t>a</w:t>
      </w:r>
      <w:r w:rsidR="008F16FE">
        <w:t xml:space="preserve"> PCI and a frequency</w:t>
      </w:r>
      <w:r w:rsidR="000B0F8E">
        <w:t>, whenever its CGI is unknown for whatever reason (e.g. because the N</w:t>
      </w:r>
      <w:r w:rsidR="00152D51">
        <w:t>C</w:t>
      </w:r>
      <w:r w:rsidR="000B0F8E">
        <w:t xml:space="preserve">R has </w:t>
      </w:r>
      <w:r w:rsidR="00152D51">
        <w:t xml:space="preserve">not (yet) </w:t>
      </w:r>
      <w:r w:rsidR="000B0F8E">
        <w:t>been created or because there is PCI confusion).</w:t>
      </w:r>
    </w:p>
    <w:p w14:paraId="7A819D54" w14:textId="3B3EF74A" w:rsidR="0071665B" w:rsidRDefault="0071665B" w:rsidP="00280F2B">
      <w:pPr>
        <w:jc w:val="both"/>
      </w:pPr>
      <w:r>
        <w:t>Here some options are sketched:</w:t>
      </w:r>
    </w:p>
    <w:p w14:paraId="611F67E4" w14:textId="7C12F881" w:rsidR="0002621E" w:rsidRDefault="00302879" w:rsidP="00280F2B">
      <w:pPr>
        <w:pStyle w:val="ListParagraph"/>
        <w:numPr>
          <w:ilvl w:val="0"/>
          <w:numId w:val="11"/>
        </w:numPr>
        <w:jc w:val="both"/>
      </w:pPr>
      <w:r w:rsidRPr="00302879">
        <w:t>Option</w:t>
      </w:r>
      <w:r w:rsidR="0071665B" w:rsidRPr="00302879">
        <w:t xml:space="preserve"> a):</w:t>
      </w:r>
      <w:r w:rsidR="0071665B">
        <w:t xml:space="preserve"> by accessing the target cell, the UE get</w:t>
      </w:r>
      <w:r w:rsidR="00B06BCE">
        <w:t>s</w:t>
      </w:r>
      <w:r w:rsidR="0071665B">
        <w:t xml:space="preserve"> </w:t>
      </w:r>
      <w:r w:rsidR="00BA2275">
        <w:t xml:space="preserve">(e.g. in message 4) </w:t>
      </w:r>
      <w:r w:rsidR="00B06BCE">
        <w:t>the target cell</w:t>
      </w:r>
      <w:r w:rsidR="0071665B">
        <w:t xml:space="preserve"> CGI that it reports back to the source node. By such information, the source node can contact the target node </w:t>
      </w:r>
      <w:r w:rsidR="00BA2275">
        <w:t xml:space="preserve">according to the </w:t>
      </w:r>
      <w:r w:rsidR="00086C0D">
        <w:t>pending</w:t>
      </w:r>
      <w:r w:rsidR="00BA2275">
        <w:t xml:space="preserve"> procedure</w:t>
      </w:r>
      <w:r w:rsidR="00606EF6">
        <w:t xml:space="preserve"> (e.g. handover request or SN addition)</w:t>
      </w:r>
    </w:p>
    <w:p w14:paraId="10B564CA" w14:textId="48B2F821" w:rsidR="00302879" w:rsidRDefault="00BA2275" w:rsidP="00280F2B">
      <w:pPr>
        <w:pStyle w:val="ListParagraph"/>
        <w:numPr>
          <w:ilvl w:val="0"/>
          <w:numId w:val="11"/>
        </w:numPr>
        <w:jc w:val="both"/>
      </w:pPr>
      <w:r w:rsidRPr="00302879">
        <w:t>Option b)</w:t>
      </w:r>
      <w:r w:rsidR="00152D51">
        <w:t>:</w:t>
      </w:r>
      <w:r>
        <w:t xml:space="preserve"> </w:t>
      </w:r>
      <w:r w:rsidR="00152D51">
        <w:t xml:space="preserve">by </w:t>
      </w:r>
      <w:r>
        <w:t xml:space="preserve">accessing the target cell, the UE provides </w:t>
      </w:r>
      <w:r w:rsidR="00152D51">
        <w:t xml:space="preserve">it </w:t>
      </w:r>
      <w:r w:rsidR="00B06BCE">
        <w:t xml:space="preserve">(e.g. via message3) </w:t>
      </w:r>
      <w:r w:rsidR="00152D51">
        <w:t xml:space="preserve">with </w:t>
      </w:r>
      <w:r w:rsidR="00B06BCE">
        <w:t>the source node</w:t>
      </w:r>
      <w:r w:rsidR="00152D51">
        <w:t>’s</w:t>
      </w:r>
      <w:r w:rsidR="00B06BCE">
        <w:t xml:space="preserve"> identity. </w:t>
      </w:r>
      <w:r w:rsidR="00152D51">
        <w:t xml:space="preserve">Using that </w:t>
      </w:r>
      <w:r w:rsidR="00302879">
        <w:t xml:space="preserve">information, the target node can contact the source node for triggering the </w:t>
      </w:r>
      <w:r w:rsidR="00086C0D">
        <w:t>pending</w:t>
      </w:r>
      <w:r w:rsidR="00302879">
        <w:t xml:space="preserve"> procedure </w:t>
      </w:r>
      <w:r w:rsidR="00606EF6">
        <w:t>(e.g. handover request or SN addition)</w:t>
      </w:r>
    </w:p>
    <w:p w14:paraId="3C6B63E6" w14:textId="17FA1286" w:rsidR="000B0F8E" w:rsidRDefault="000B0F8E" w:rsidP="00280F2B">
      <w:pPr>
        <w:jc w:val="both"/>
      </w:pPr>
      <w:r>
        <w:t>A</w:t>
      </w:r>
      <w:r w:rsidR="00152D51">
        <w:t>s</w:t>
      </w:r>
      <w:r>
        <w:t xml:space="preserve"> for t</w:t>
      </w:r>
      <w:r w:rsidR="004939EE">
        <w:t xml:space="preserve">he RACH resources </w:t>
      </w:r>
      <w:r>
        <w:t>to use for accessing the target cell, they can be read from the respective SIB when available or provided according to a pre-defined default value</w:t>
      </w:r>
      <w:r w:rsidR="00086C0D">
        <w:t>s</w:t>
      </w:r>
      <w:r>
        <w:t xml:space="preserve"> a</w:t>
      </w:r>
      <w:r w:rsidR="004939EE">
        <w:t>s suggested by [2]</w:t>
      </w:r>
      <w:r>
        <w:t>.</w:t>
      </w:r>
    </w:p>
    <w:p w14:paraId="64DCC3AF" w14:textId="48D13C3F" w:rsidR="00695041" w:rsidRDefault="00086C0D" w:rsidP="00280F2B">
      <w:pPr>
        <w:jc w:val="both"/>
      </w:pPr>
      <w:r>
        <w:rPr>
          <w:b/>
        </w:rPr>
        <w:t xml:space="preserve">Observation </w:t>
      </w:r>
      <w:r w:rsidR="00AC413D">
        <w:rPr>
          <w:b/>
        </w:rPr>
        <w:t>4</w:t>
      </w:r>
      <w:r w:rsidR="00302879" w:rsidRPr="00302879">
        <w:rPr>
          <w:b/>
        </w:rPr>
        <w:t>:</w:t>
      </w:r>
      <w:r w:rsidR="00302879">
        <w:tab/>
        <w:t>By either option</w:t>
      </w:r>
      <w:r w:rsidR="00AC413D">
        <w:t xml:space="preserve"> a) or b)</w:t>
      </w:r>
      <w:r w:rsidR="00302879">
        <w:t xml:space="preserve">, or any other similar, the same new procedure can be used both for providing ANR in the </w:t>
      </w:r>
      <w:r>
        <w:t>EN</w:t>
      </w:r>
      <w:r w:rsidR="00302879">
        <w:t>-</w:t>
      </w:r>
      <w:r>
        <w:t>DC</w:t>
      </w:r>
      <w:r w:rsidR="00302879">
        <w:t xml:space="preserve"> and for resolving the target cell identity when</w:t>
      </w:r>
      <w:r w:rsidR="00D57072">
        <w:t>ever</w:t>
      </w:r>
      <w:r w:rsidR="00302879">
        <w:t xml:space="preserve"> there is PCI confusion</w:t>
      </w:r>
      <w:r w:rsidR="00D57072">
        <w:t>.</w:t>
      </w:r>
      <w:r w:rsidR="00302879">
        <w:t xml:space="preserve"> </w:t>
      </w:r>
    </w:p>
    <w:p w14:paraId="5C22A2A7" w14:textId="77777777" w:rsidR="00302879" w:rsidRDefault="00302879" w:rsidP="00CD4C7B"/>
    <w:p w14:paraId="0DBE97BF" w14:textId="08CBD5D9" w:rsidR="00CD4C7B" w:rsidRDefault="00695041" w:rsidP="00CD4C7B">
      <w:pPr>
        <w:pStyle w:val="Heading1"/>
      </w:pPr>
      <w:r>
        <w:t>3</w:t>
      </w:r>
      <w:r w:rsidR="00CD4C7B" w:rsidRPr="006E13D1">
        <w:tab/>
      </w:r>
      <w:r w:rsidR="002311DA">
        <w:t>Conclusion</w:t>
      </w:r>
    </w:p>
    <w:p w14:paraId="62D4F767" w14:textId="506A065C" w:rsidR="00C111EC" w:rsidRDefault="00C111EC" w:rsidP="00280F2B">
      <w:pPr>
        <w:jc w:val="both"/>
      </w:pPr>
      <w:r>
        <w:t>This contribution discussed the increased potential of PCI confusion issue in the future NR deployments, especially due to dense small cells deployments in higher frequencies. The following observations are made:</w:t>
      </w:r>
    </w:p>
    <w:p w14:paraId="65587A70" w14:textId="1E011D19" w:rsidR="00C111EC" w:rsidRDefault="00C111EC" w:rsidP="00280F2B">
      <w:pPr>
        <w:jc w:val="both"/>
      </w:pPr>
      <w:r>
        <w:rPr>
          <w:b/>
        </w:rPr>
        <w:t>Observation 1:</w:t>
      </w:r>
      <w:r>
        <w:t xml:space="preserve"> Use of the same PCI and frequency by multiple neighbour cells may be quite common</w:t>
      </w:r>
      <w:r w:rsidR="00AC413D">
        <w:t>, e.g.</w:t>
      </w:r>
      <w:r>
        <w:t xml:space="preserve"> in high density deployments.</w:t>
      </w:r>
    </w:p>
    <w:p w14:paraId="0E5E011E" w14:textId="77777777" w:rsidR="00C111EC" w:rsidRDefault="00C111EC" w:rsidP="00280F2B">
      <w:pPr>
        <w:jc w:val="both"/>
      </w:pPr>
      <w:r w:rsidRPr="009860CF">
        <w:rPr>
          <w:b/>
        </w:rPr>
        <w:t>Observation 2:</w:t>
      </w:r>
      <w:r>
        <w:tab/>
        <w:t>Triggering a CGI measurement each time a UE reports a “confused” PCI impacts the service performance and UE’s power consumption, adding delay to the pending RRC procedure.</w:t>
      </w:r>
    </w:p>
    <w:p w14:paraId="475D9AFD" w14:textId="77777777" w:rsidR="00C111EC" w:rsidRDefault="00C111EC" w:rsidP="00280F2B">
      <w:pPr>
        <w:jc w:val="both"/>
      </w:pPr>
      <w:r w:rsidRPr="00960C1D">
        <w:rPr>
          <w:b/>
        </w:rPr>
        <w:t>Observation 3:</w:t>
      </w:r>
      <w:r w:rsidRPr="00960C1D">
        <w:rPr>
          <w:b/>
        </w:rPr>
        <w:tab/>
      </w:r>
      <w:r>
        <w:t xml:space="preserve">Support of mobility and MR-DC for deployments involving high frequency band NR-cells requires some solution to the PCI confusion issue. </w:t>
      </w:r>
    </w:p>
    <w:p w14:paraId="0E661C4E" w14:textId="670434E9" w:rsidR="00C111EC" w:rsidRDefault="00C111EC" w:rsidP="00136251">
      <w:pPr>
        <w:jc w:val="both"/>
      </w:pPr>
      <w:r>
        <w:rPr>
          <w:b/>
        </w:rPr>
        <w:t xml:space="preserve">Observation </w:t>
      </w:r>
      <w:r w:rsidR="00AC413D">
        <w:rPr>
          <w:b/>
        </w:rPr>
        <w:t>4</w:t>
      </w:r>
      <w:r w:rsidRPr="00302879">
        <w:rPr>
          <w:b/>
        </w:rPr>
        <w:t>:</w:t>
      </w:r>
      <w:r>
        <w:tab/>
        <w:t>By either option</w:t>
      </w:r>
      <w:r w:rsidR="00AC413D">
        <w:t xml:space="preserve"> a) or b)</w:t>
      </w:r>
      <w:r>
        <w:t xml:space="preserve">, or any other similar, the same new procedure can be used both for providing ANR in the EN-DC and for resolving the target cell identity whenever there is PCI confusion. </w:t>
      </w:r>
    </w:p>
    <w:p w14:paraId="0ED78874" w14:textId="32E06FCD" w:rsidR="00695041" w:rsidRDefault="009D21EE" w:rsidP="00280F2B">
      <w:pPr>
        <w:jc w:val="both"/>
      </w:pPr>
      <w:r>
        <w:t>Based on the observations and options provided in chapter 2, i</w:t>
      </w:r>
      <w:r w:rsidR="00302879">
        <w:t xml:space="preserve">t is proposed </w:t>
      </w:r>
      <w:r>
        <w:t>to define a new procedure by which it is possible</w:t>
      </w:r>
      <w:r w:rsidR="00652EA8">
        <w:t xml:space="preserve"> to instruct a UE to access a target cell identified only via its PCI and frequency, whenever the target CGI is unknown to the UE’s serving cell. Such a procedure can be used </w:t>
      </w:r>
      <w:r>
        <w:t xml:space="preserve">both to provide ANR in EN-DC </w:t>
      </w:r>
      <w:r w:rsidR="003117B4">
        <w:t xml:space="preserve">without having to broadcast SIB1 </w:t>
      </w:r>
      <w:r>
        <w:t>and to resolve the PCI confusion</w:t>
      </w:r>
      <w:r w:rsidR="003117B4">
        <w:t xml:space="preserve"> and accelerate the handover execution when it occurs</w:t>
      </w:r>
      <w:r>
        <w:t>.</w:t>
      </w:r>
    </w:p>
    <w:p w14:paraId="58D7EC45" w14:textId="60EB2D89" w:rsidR="00C111EC" w:rsidRPr="00280F2B" w:rsidRDefault="00C111EC" w:rsidP="00280F2B">
      <w:pPr>
        <w:jc w:val="both"/>
        <w:rPr>
          <w:b/>
        </w:rPr>
      </w:pPr>
      <w:bookmarkStart w:id="2" w:name="_Hlk490149740"/>
      <w:r>
        <w:rPr>
          <w:b/>
        </w:rPr>
        <w:t xml:space="preserve">Proposal: </w:t>
      </w:r>
      <w:r w:rsidR="002A1EA7">
        <w:rPr>
          <w:b/>
        </w:rPr>
        <w:t xml:space="preserve">To address the PCI confusion issue in NR SA and NSA deployments, </w:t>
      </w:r>
      <w:r w:rsidR="004F79DB">
        <w:rPr>
          <w:b/>
        </w:rPr>
        <w:t>RAN2 should develop a solution</w:t>
      </w:r>
      <w:r w:rsidR="002A1EA7">
        <w:rPr>
          <w:b/>
        </w:rPr>
        <w:t xml:space="preserve"> allowing to disambiguate the target cell’s identity without requiring the UE to read target cell’s CGI from System Information and reporting it back to the serving cell.</w:t>
      </w:r>
      <w:r w:rsidR="002A1EA7" w:rsidDel="002A1EA7">
        <w:rPr>
          <w:b/>
        </w:rPr>
        <w:t xml:space="preserve"> </w:t>
      </w:r>
    </w:p>
    <w:bookmarkEnd w:id="2"/>
    <w:p w14:paraId="05222F37" w14:textId="55F6515D" w:rsidR="009D21EE" w:rsidRPr="00695041" w:rsidRDefault="009D21EE" w:rsidP="00695041"/>
    <w:p w14:paraId="105C1932" w14:textId="77777777" w:rsidR="00695041" w:rsidRPr="006E13D1" w:rsidRDefault="00695041" w:rsidP="00695041">
      <w:pPr>
        <w:pStyle w:val="Heading1"/>
      </w:pPr>
      <w:r>
        <w:t>4</w:t>
      </w:r>
      <w:r w:rsidRPr="006E13D1">
        <w:tab/>
        <w:t>References</w:t>
      </w:r>
    </w:p>
    <w:p w14:paraId="0E703C08" w14:textId="02C73615" w:rsidR="00744590" w:rsidRPr="007B5566" w:rsidRDefault="007B5566" w:rsidP="00744590">
      <w:pPr>
        <w:overflowPunct w:val="0"/>
        <w:autoSpaceDE w:val="0"/>
        <w:autoSpaceDN w:val="0"/>
        <w:adjustRightInd w:val="0"/>
        <w:textAlignment w:val="baseline"/>
      </w:pPr>
      <w:r>
        <w:t>[1] R2-170</w:t>
      </w:r>
      <w:r w:rsidR="00744590" w:rsidRPr="007B5566">
        <w:t xml:space="preserve">6455 </w:t>
      </w:r>
      <w:r w:rsidR="00744590" w:rsidRPr="007B5566">
        <w:rPr>
          <w:i/>
        </w:rPr>
        <w:t>“Cell Global Identity and ANR functionality”</w:t>
      </w:r>
      <w:r>
        <w:t>,</w:t>
      </w:r>
      <w:r w:rsidRPr="007B5566">
        <w:t xml:space="preserve"> Nokia, Alcatel-Lucent Shanghai Bell</w:t>
      </w:r>
    </w:p>
    <w:p w14:paraId="1A8E0AE1" w14:textId="192DB43E" w:rsidR="00B65BD7" w:rsidRPr="00CD4C7B" w:rsidRDefault="00B65BD7" w:rsidP="00744590">
      <w:pPr>
        <w:overflowPunct w:val="0"/>
        <w:autoSpaceDE w:val="0"/>
        <w:autoSpaceDN w:val="0"/>
        <w:adjustRightInd w:val="0"/>
        <w:textAlignment w:val="baseline"/>
      </w:pPr>
      <w:r w:rsidRPr="007B5566">
        <w:t>[2]</w:t>
      </w:r>
      <w:r w:rsidR="007B5566" w:rsidRPr="007B5566">
        <w:t xml:space="preserve"> </w:t>
      </w:r>
      <w:r w:rsidRPr="007B5566">
        <w:t xml:space="preserve">R2-1707283 </w:t>
      </w:r>
      <w:r w:rsidRPr="007B5566">
        <w:rPr>
          <w:i/>
        </w:rPr>
        <w:t>“ANR for NSA NR”</w:t>
      </w:r>
      <w:r w:rsidRPr="007B5566">
        <w:t xml:space="preserve">, </w:t>
      </w:r>
      <w:r w:rsidR="007B5566" w:rsidRPr="007B5566">
        <w:t>Ericsson</w:t>
      </w:r>
    </w:p>
    <w:sectPr w:rsidR="00B65BD7"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A18C2" w14:textId="77777777" w:rsidR="001C25FA" w:rsidRDefault="001C25FA">
      <w:r>
        <w:separator/>
      </w:r>
    </w:p>
  </w:endnote>
  <w:endnote w:type="continuationSeparator" w:id="0">
    <w:p w14:paraId="271A98AF" w14:textId="77777777" w:rsidR="001C25FA" w:rsidRDefault="001C2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925EC" w14:textId="77777777" w:rsidR="001C25FA" w:rsidRDefault="001C25FA">
      <w:r>
        <w:separator/>
      </w:r>
    </w:p>
  </w:footnote>
  <w:footnote w:type="continuationSeparator" w:id="0">
    <w:p w14:paraId="01393922" w14:textId="77777777" w:rsidR="001C25FA" w:rsidRDefault="001C25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D532BA"/>
    <w:multiLevelType w:val="hybridMultilevel"/>
    <w:tmpl w:val="4D3A238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E812ED"/>
    <w:multiLevelType w:val="hybridMultilevel"/>
    <w:tmpl w:val="BBFADA0E"/>
    <w:lvl w:ilvl="0" w:tplc="98FC8A7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2DBE0873"/>
    <w:multiLevelType w:val="hybridMultilevel"/>
    <w:tmpl w:val="C1128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D1DA13E0">
      <w:numFmt w:val="bullet"/>
      <w:lvlText w:val=""/>
      <w:lvlJc w:val="left"/>
      <w:pPr>
        <w:ind w:left="2160" w:hanging="360"/>
      </w:pPr>
      <w:rPr>
        <w:rFonts w:ascii="Wingdings" w:eastAsia="Times New Roman"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FD6662E"/>
    <w:multiLevelType w:val="hybridMultilevel"/>
    <w:tmpl w:val="6F36C318"/>
    <w:lvl w:ilvl="0" w:tplc="255EF208">
      <w:start w:val="2"/>
      <w:numFmt w:val="bullet"/>
      <w:lvlText w:val="-"/>
      <w:lvlJc w:val="left"/>
      <w:pPr>
        <w:ind w:left="360" w:hanging="360"/>
      </w:pPr>
      <w:rPr>
        <w:rFonts w:ascii="Times New Roman" w:eastAsia="Times New Roman" w:hAnsi="Times New Roman"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35913636"/>
    <w:multiLevelType w:val="hybridMultilevel"/>
    <w:tmpl w:val="E616735C"/>
    <w:lvl w:ilvl="0" w:tplc="255EF208">
      <w:start w:val="2"/>
      <w:numFmt w:val="bullet"/>
      <w:lvlText w:val="-"/>
      <w:lvlJc w:val="left"/>
      <w:pPr>
        <w:ind w:left="928"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8FC6754"/>
    <w:multiLevelType w:val="hybridMultilevel"/>
    <w:tmpl w:val="9E98A96C"/>
    <w:lvl w:ilvl="0" w:tplc="0409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BF07FCC"/>
    <w:multiLevelType w:val="hybridMultilevel"/>
    <w:tmpl w:val="BDB413BE"/>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9"/>
  </w:num>
  <w:num w:numId="7">
    <w:abstractNumId w:val="4"/>
  </w:num>
  <w:num w:numId="8">
    <w:abstractNumId w:val="4"/>
  </w:num>
  <w:num w:numId="9">
    <w:abstractNumId w:val="5"/>
  </w:num>
  <w:num w:numId="10">
    <w:abstractNumId w:val="8"/>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78E0"/>
    <w:rsid w:val="000103CB"/>
    <w:rsid w:val="000216EE"/>
    <w:rsid w:val="0002621E"/>
    <w:rsid w:val="00027CE4"/>
    <w:rsid w:val="00033397"/>
    <w:rsid w:val="00040095"/>
    <w:rsid w:val="00040FFC"/>
    <w:rsid w:val="00043444"/>
    <w:rsid w:val="00051117"/>
    <w:rsid w:val="000549BF"/>
    <w:rsid w:val="000628C2"/>
    <w:rsid w:val="00062DC4"/>
    <w:rsid w:val="00064983"/>
    <w:rsid w:val="00080512"/>
    <w:rsid w:val="00082C46"/>
    <w:rsid w:val="0008391A"/>
    <w:rsid w:val="00086C0D"/>
    <w:rsid w:val="00090468"/>
    <w:rsid w:val="000A69D9"/>
    <w:rsid w:val="000B0F8E"/>
    <w:rsid w:val="000B1588"/>
    <w:rsid w:val="000B557C"/>
    <w:rsid w:val="000B7BCF"/>
    <w:rsid w:val="000C522B"/>
    <w:rsid w:val="000C7461"/>
    <w:rsid w:val="000D58AB"/>
    <w:rsid w:val="001309C9"/>
    <w:rsid w:val="00136251"/>
    <w:rsid w:val="00145075"/>
    <w:rsid w:val="00152D51"/>
    <w:rsid w:val="001741A0"/>
    <w:rsid w:val="00194CD0"/>
    <w:rsid w:val="001B49C9"/>
    <w:rsid w:val="001B6FCA"/>
    <w:rsid w:val="001C25FA"/>
    <w:rsid w:val="001D6A1A"/>
    <w:rsid w:val="001F168B"/>
    <w:rsid w:val="001F60EA"/>
    <w:rsid w:val="001F7831"/>
    <w:rsid w:val="00204045"/>
    <w:rsid w:val="002121B6"/>
    <w:rsid w:val="00215060"/>
    <w:rsid w:val="0022606D"/>
    <w:rsid w:val="00226449"/>
    <w:rsid w:val="00227533"/>
    <w:rsid w:val="002311DA"/>
    <w:rsid w:val="00245349"/>
    <w:rsid w:val="00261416"/>
    <w:rsid w:val="002747EC"/>
    <w:rsid w:val="002753D9"/>
    <w:rsid w:val="00280F2B"/>
    <w:rsid w:val="00283DBB"/>
    <w:rsid w:val="002855BF"/>
    <w:rsid w:val="002A1EA7"/>
    <w:rsid w:val="002A718B"/>
    <w:rsid w:val="002C5321"/>
    <w:rsid w:val="002D70BD"/>
    <w:rsid w:val="002D77BE"/>
    <w:rsid w:val="002E007D"/>
    <w:rsid w:val="002F0D22"/>
    <w:rsid w:val="002F27A6"/>
    <w:rsid w:val="00302879"/>
    <w:rsid w:val="003117B4"/>
    <w:rsid w:val="00312788"/>
    <w:rsid w:val="00314CDF"/>
    <w:rsid w:val="003172DC"/>
    <w:rsid w:val="00326069"/>
    <w:rsid w:val="00340EF2"/>
    <w:rsid w:val="00353FEC"/>
    <w:rsid w:val="0035462D"/>
    <w:rsid w:val="0035676E"/>
    <w:rsid w:val="003603DD"/>
    <w:rsid w:val="00382590"/>
    <w:rsid w:val="0038353E"/>
    <w:rsid w:val="00384527"/>
    <w:rsid w:val="00395502"/>
    <w:rsid w:val="003A6678"/>
    <w:rsid w:val="003B40AD"/>
    <w:rsid w:val="003C4E37"/>
    <w:rsid w:val="003D3632"/>
    <w:rsid w:val="003E16BE"/>
    <w:rsid w:val="00401855"/>
    <w:rsid w:val="004039BE"/>
    <w:rsid w:val="004233F9"/>
    <w:rsid w:val="00431A4F"/>
    <w:rsid w:val="004338D6"/>
    <w:rsid w:val="00462C69"/>
    <w:rsid w:val="00477455"/>
    <w:rsid w:val="004939EE"/>
    <w:rsid w:val="004A0CF2"/>
    <w:rsid w:val="004A1C37"/>
    <w:rsid w:val="004D213F"/>
    <w:rsid w:val="004D3578"/>
    <w:rsid w:val="004D380D"/>
    <w:rsid w:val="004E07C7"/>
    <w:rsid w:val="004E213A"/>
    <w:rsid w:val="004F79DB"/>
    <w:rsid w:val="00503171"/>
    <w:rsid w:val="00506C28"/>
    <w:rsid w:val="00524AD7"/>
    <w:rsid w:val="00533AFC"/>
    <w:rsid w:val="00534DA0"/>
    <w:rsid w:val="00543E6C"/>
    <w:rsid w:val="00544422"/>
    <w:rsid w:val="00547D9D"/>
    <w:rsid w:val="005629C3"/>
    <w:rsid w:val="00565087"/>
    <w:rsid w:val="0056573F"/>
    <w:rsid w:val="0057339C"/>
    <w:rsid w:val="00576955"/>
    <w:rsid w:val="005A4393"/>
    <w:rsid w:val="005B098C"/>
    <w:rsid w:val="005D39CA"/>
    <w:rsid w:val="005F40A3"/>
    <w:rsid w:val="00606EF6"/>
    <w:rsid w:val="00611566"/>
    <w:rsid w:val="00616E25"/>
    <w:rsid w:val="006178D2"/>
    <w:rsid w:val="00623267"/>
    <w:rsid w:val="0064307E"/>
    <w:rsid w:val="00646D99"/>
    <w:rsid w:val="00652EA8"/>
    <w:rsid w:val="00656910"/>
    <w:rsid w:val="006611D3"/>
    <w:rsid w:val="00666FD1"/>
    <w:rsid w:val="00671849"/>
    <w:rsid w:val="00682BDD"/>
    <w:rsid w:val="0068503D"/>
    <w:rsid w:val="00687E75"/>
    <w:rsid w:val="00695041"/>
    <w:rsid w:val="00695146"/>
    <w:rsid w:val="006B5EFA"/>
    <w:rsid w:val="006B78C7"/>
    <w:rsid w:val="006C23DC"/>
    <w:rsid w:val="006C526E"/>
    <w:rsid w:val="006C66D8"/>
    <w:rsid w:val="006D1E24"/>
    <w:rsid w:val="006D6C2F"/>
    <w:rsid w:val="006E1417"/>
    <w:rsid w:val="006E4105"/>
    <w:rsid w:val="006F55A2"/>
    <w:rsid w:val="006F6A2C"/>
    <w:rsid w:val="007002F5"/>
    <w:rsid w:val="00710881"/>
    <w:rsid w:val="0071665B"/>
    <w:rsid w:val="00733F9E"/>
    <w:rsid w:val="00734A5B"/>
    <w:rsid w:val="00744590"/>
    <w:rsid w:val="00744E76"/>
    <w:rsid w:val="00750BC0"/>
    <w:rsid w:val="00753410"/>
    <w:rsid w:val="00757D40"/>
    <w:rsid w:val="00781F0F"/>
    <w:rsid w:val="00782467"/>
    <w:rsid w:val="0078727C"/>
    <w:rsid w:val="0079049D"/>
    <w:rsid w:val="00791E6F"/>
    <w:rsid w:val="007A437A"/>
    <w:rsid w:val="007B082E"/>
    <w:rsid w:val="007B18D8"/>
    <w:rsid w:val="007B5566"/>
    <w:rsid w:val="007C095F"/>
    <w:rsid w:val="007D3CC7"/>
    <w:rsid w:val="007E0B16"/>
    <w:rsid w:val="007F5EA2"/>
    <w:rsid w:val="007F6E1C"/>
    <w:rsid w:val="008028A4"/>
    <w:rsid w:val="00813245"/>
    <w:rsid w:val="008165AD"/>
    <w:rsid w:val="008615FF"/>
    <w:rsid w:val="008768CA"/>
    <w:rsid w:val="00877EF9"/>
    <w:rsid w:val="00880559"/>
    <w:rsid w:val="008863D3"/>
    <w:rsid w:val="00891AF9"/>
    <w:rsid w:val="00895E7F"/>
    <w:rsid w:val="008A4828"/>
    <w:rsid w:val="008B5306"/>
    <w:rsid w:val="008D5C15"/>
    <w:rsid w:val="008F16FE"/>
    <w:rsid w:val="008F4F5D"/>
    <w:rsid w:val="0090271F"/>
    <w:rsid w:val="00902DB9"/>
    <w:rsid w:val="00903571"/>
    <w:rsid w:val="0090466A"/>
    <w:rsid w:val="00905431"/>
    <w:rsid w:val="0091610A"/>
    <w:rsid w:val="00936071"/>
    <w:rsid w:val="00940212"/>
    <w:rsid w:val="00942EC2"/>
    <w:rsid w:val="00960C1D"/>
    <w:rsid w:val="00961B32"/>
    <w:rsid w:val="00963D6F"/>
    <w:rsid w:val="00974BB0"/>
    <w:rsid w:val="009751BF"/>
    <w:rsid w:val="0098024A"/>
    <w:rsid w:val="00981550"/>
    <w:rsid w:val="009860CF"/>
    <w:rsid w:val="009A0AF3"/>
    <w:rsid w:val="009A75F4"/>
    <w:rsid w:val="009B07CD"/>
    <w:rsid w:val="009B13B6"/>
    <w:rsid w:val="009C19E9"/>
    <w:rsid w:val="009C593D"/>
    <w:rsid w:val="009D21EE"/>
    <w:rsid w:val="009D5517"/>
    <w:rsid w:val="009E0F0A"/>
    <w:rsid w:val="00A10F02"/>
    <w:rsid w:val="00A204CA"/>
    <w:rsid w:val="00A227CA"/>
    <w:rsid w:val="00A23012"/>
    <w:rsid w:val="00A30345"/>
    <w:rsid w:val="00A53724"/>
    <w:rsid w:val="00A61856"/>
    <w:rsid w:val="00A72259"/>
    <w:rsid w:val="00A76573"/>
    <w:rsid w:val="00A82346"/>
    <w:rsid w:val="00A86139"/>
    <w:rsid w:val="00A87D2A"/>
    <w:rsid w:val="00A91416"/>
    <w:rsid w:val="00A9671C"/>
    <w:rsid w:val="00A97BE4"/>
    <w:rsid w:val="00AA096A"/>
    <w:rsid w:val="00AA1553"/>
    <w:rsid w:val="00AA38F3"/>
    <w:rsid w:val="00AC413D"/>
    <w:rsid w:val="00AC79A8"/>
    <w:rsid w:val="00AD6A89"/>
    <w:rsid w:val="00AE1A2A"/>
    <w:rsid w:val="00AE5525"/>
    <w:rsid w:val="00B0245C"/>
    <w:rsid w:val="00B029BB"/>
    <w:rsid w:val="00B06BCE"/>
    <w:rsid w:val="00B1146E"/>
    <w:rsid w:val="00B15449"/>
    <w:rsid w:val="00B47FD1"/>
    <w:rsid w:val="00B516BB"/>
    <w:rsid w:val="00B65BD7"/>
    <w:rsid w:val="00B9639F"/>
    <w:rsid w:val="00BA2275"/>
    <w:rsid w:val="00BA3871"/>
    <w:rsid w:val="00BB07D9"/>
    <w:rsid w:val="00BB4E73"/>
    <w:rsid w:val="00BD0698"/>
    <w:rsid w:val="00BF71DB"/>
    <w:rsid w:val="00C0156D"/>
    <w:rsid w:val="00C111EC"/>
    <w:rsid w:val="00C12B51"/>
    <w:rsid w:val="00C24650"/>
    <w:rsid w:val="00C25B13"/>
    <w:rsid w:val="00C32390"/>
    <w:rsid w:val="00C33079"/>
    <w:rsid w:val="00C40419"/>
    <w:rsid w:val="00C56006"/>
    <w:rsid w:val="00C5602C"/>
    <w:rsid w:val="00C6548D"/>
    <w:rsid w:val="00C83A13"/>
    <w:rsid w:val="00C83FE0"/>
    <w:rsid w:val="00C92967"/>
    <w:rsid w:val="00CA03A9"/>
    <w:rsid w:val="00CA3D0C"/>
    <w:rsid w:val="00CA419A"/>
    <w:rsid w:val="00CA654B"/>
    <w:rsid w:val="00CD1A2E"/>
    <w:rsid w:val="00CD4C7B"/>
    <w:rsid w:val="00D00A67"/>
    <w:rsid w:val="00D060B9"/>
    <w:rsid w:val="00D2261C"/>
    <w:rsid w:val="00D41B74"/>
    <w:rsid w:val="00D4374B"/>
    <w:rsid w:val="00D57072"/>
    <w:rsid w:val="00D631A8"/>
    <w:rsid w:val="00D63C7B"/>
    <w:rsid w:val="00D738D6"/>
    <w:rsid w:val="00D80795"/>
    <w:rsid w:val="00D87693"/>
    <w:rsid w:val="00D87E00"/>
    <w:rsid w:val="00D9134D"/>
    <w:rsid w:val="00D96D11"/>
    <w:rsid w:val="00DA1565"/>
    <w:rsid w:val="00DA7A03"/>
    <w:rsid w:val="00DB1818"/>
    <w:rsid w:val="00DC14BB"/>
    <w:rsid w:val="00DC309B"/>
    <w:rsid w:val="00DC4DA2"/>
    <w:rsid w:val="00DE4115"/>
    <w:rsid w:val="00DF01E9"/>
    <w:rsid w:val="00E042AE"/>
    <w:rsid w:val="00E225D4"/>
    <w:rsid w:val="00E22A4D"/>
    <w:rsid w:val="00E2597F"/>
    <w:rsid w:val="00E30961"/>
    <w:rsid w:val="00E35171"/>
    <w:rsid w:val="00E44716"/>
    <w:rsid w:val="00E56850"/>
    <w:rsid w:val="00E62835"/>
    <w:rsid w:val="00E725F4"/>
    <w:rsid w:val="00E77645"/>
    <w:rsid w:val="00E802EE"/>
    <w:rsid w:val="00E83697"/>
    <w:rsid w:val="00E8437B"/>
    <w:rsid w:val="00EC4A25"/>
    <w:rsid w:val="00ED53C4"/>
    <w:rsid w:val="00EE57E9"/>
    <w:rsid w:val="00EF0AE0"/>
    <w:rsid w:val="00F025A2"/>
    <w:rsid w:val="00F07388"/>
    <w:rsid w:val="00F12344"/>
    <w:rsid w:val="00F2026E"/>
    <w:rsid w:val="00F2210A"/>
    <w:rsid w:val="00F37743"/>
    <w:rsid w:val="00F414C7"/>
    <w:rsid w:val="00F465C2"/>
    <w:rsid w:val="00F535D6"/>
    <w:rsid w:val="00F541C6"/>
    <w:rsid w:val="00F54838"/>
    <w:rsid w:val="00F54A3D"/>
    <w:rsid w:val="00F653B8"/>
    <w:rsid w:val="00F71213"/>
    <w:rsid w:val="00F71B89"/>
    <w:rsid w:val="00F7353C"/>
    <w:rsid w:val="00F76F8F"/>
    <w:rsid w:val="00F91C7B"/>
    <w:rsid w:val="00F947F0"/>
    <w:rsid w:val="00FA1266"/>
    <w:rsid w:val="00FA22E4"/>
    <w:rsid w:val="00FB48C4"/>
    <w:rsid w:val="00FC1192"/>
    <w:rsid w:val="00FC7349"/>
    <w:rsid w:val="00FC768B"/>
    <w:rsid w:val="00FD5B5E"/>
    <w:rsid w:val="00FD7E49"/>
    <w:rsid w:val="00FF27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34CCD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TFChar">
    <w:name w:val="TF Char"/>
    <w:basedOn w:val="DefaultParagraphFont"/>
    <w:link w:val="TF"/>
    <w:rsid w:val="002311DA"/>
    <w:rPr>
      <w:rFonts w:ascii="Arial" w:hAnsi="Arial"/>
      <w:b/>
      <w:lang w:eastAsia="en-US"/>
    </w:rPr>
  </w:style>
  <w:style w:type="character" w:customStyle="1" w:styleId="THChar">
    <w:name w:val="TH Char"/>
    <w:link w:val="TH"/>
    <w:rsid w:val="002311DA"/>
    <w:rPr>
      <w:rFonts w:ascii="Arial" w:hAnsi="Arial"/>
      <w:b/>
      <w:lang w:eastAsia="en-US"/>
    </w:rPr>
  </w:style>
  <w:style w:type="character" w:styleId="Mention">
    <w:name w:val="Mention"/>
    <w:basedOn w:val="DefaultParagraphFont"/>
    <w:uiPriority w:val="99"/>
    <w:semiHidden/>
    <w:unhideWhenUsed/>
    <w:rsid w:val="00431A4F"/>
    <w:rPr>
      <w:color w:val="2B579A"/>
      <w:shd w:val="clear" w:color="auto" w:fill="E6E6E6"/>
    </w:rPr>
  </w:style>
  <w:style w:type="table" w:styleId="TableGrid">
    <w:name w:val="Table Grid"/>
    <w:basedOn w:val="TableNormal"/>
    <w:rsid w:val="00F947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6D6C2F"/>
    <w:rPr>
      <w:rFonts w:ascii="Arial" w:eastAsia="MS Mincho" w:hAnsi="Arial" w:cs="Arial"/>
      <w:szCs w:val="24"/>
    </w:rPr>
  </w:style>
  <w:style w:type="paragraph" w:customStyle="1" w:styleId="Doc-text2">
    <w:name w:val="Doc-text2"/>
    <w:basedOn w:val="Normal"/>
    <w:link w:val="Doc-text2Char"/>
    <w:qFormat/>
    <w:rsid w:val="006D6C2F"/>
    <w:pPr>
      <w:tabs>
        <w:tab w:val="left" w:pos="1622"/>
      </w:tabs>
      <w:spacing w:after="0"/>
      <w:ind w:left="1622" w:hanging="363"/>
    </w:pPr>
    <w:rPr>
      <w:rFonts w:ascii="Arial" w:eastAsia="MS Mincho" w:hAnsi="Arial" w:cs="Arial"/>
      <w:szCs w:val="24"/>
      <w:lang w:eastAsia="en-GB"/>
    </w:rPr>
  </w:style>
  <w:style w:type="paragraph" w:styleId="BalloonText">
    <w:name w:val="Balloon Text"/>
    <w:basedOn w:val="Normal"/>
    <w:link w:val="BalloonTextChar"/>
    <w:rsid w:val="00AD6A89"/>
    <w:pPr>
      <w:spacing w:after="0"/>
    </w:pPr>
    <w:rPr>
      <w:rFonts w:ascii="Segoe UI" w:hAnsi="Segoe UI" w:cs="Segoe UI"/>
      <w:sz w:val="18"/>
      <w:szCs w:val="18"/>
    </w:rPr>
  </w:style>
  <w:style w:type="character" w:customStyle="1" w:styleId="BalloonTextChar">
    <w:name w:val="Balloon Text Char"/>
    <w:basedOn w:val="DefaultParagraphFont"/>
    <w:link w:val="BalloonText"/>
    <w:rsid w:val="00AD6A89"/>
    <w:rPr>
      <w:rFonts w:ascii="Segoe UI" w:hAnsi="Segoe UI" w:cs="Segoe UI"/>
      <w:sz w:val="18"/>
      <w:szCs w:val="18"/>
      <w:lang w:eastAsia="en-US"/>
    </w:rPr>
  </w:style>
  <w:style w:type="character" w:styleId="CommentReference">
    <w:name w:val="annotation reference"/>
    <w:basedOn w:val="DefaultParagraphFont"/>
    <w:rsid w:val="00314CDF"/>
    <w:rPr>
      <w:sz w:val="16"/>
      <w:szCs w:val="16"/>
    </w:rPr>
  </w:style>
  <w:style w:type="paragraph" w:styleId="CommentText">
    <w:name w:val="annotation text"/>
    <w:basedOn w:val="Normal"/>
    <w:link w:val="CommentTextChar"/>
    <w:rsid w:val="00314CDF"/>
  </w:style>
  <w:style w:type="character" w:customStyle="1" w:styleId="CommentTextChar">
    <w:name w:val="Comment Text Char"/>
    <w:basedOn w:val="DefaultParagraphFont"/>
    <w:link w:val="CommentText"/>
    <w:rsid w:val="00314CDF"/>
    <w:rPr>
      <w:lang w:eastAsia="en-US"/>
    </w:rPr>
  </w:style>
  <w:style w:type="paragraph" w:styleId="CommentSubject">
    <w:name w:val="annotation subject"/>
    <w:basedOn w:val="CommentText"/>
    <w:next w:val="CommentText"/>
    <w:link w:val="CommentSubjectChar"/>
    <w:rsid w:val="00314CDF"/>
    <w:rPr>
      <w:b/>
      <w:bCs/>
    </w:rPr>
  </w:style>
  <w:style w:type="character" w:customStyle="1" w:styleId="CommentSubjectChar">
    <w:name w:val="Comment Subject Char"/>
    <w:basedOn w:val="CommentTextChar"/>
    <w:link w:val="CommentSubject"/>
    <w:rsid w:val="00314CDF"/>
    <w:rPr>
      <w:b/>
      <w:bCs/>
      <w:lang w:eastAsia="en-US"/>
    </w:rPr>
  </w:style>
  <w:style w:type="paragraph" w:styleId="ListParagraph">
    <w:name w:val="List Paragraph"/>
    <w:basedOn w:val="Normal"/>
    <w:uiPriority w:val="34"/>
    <w:qFormat/>
    <w:rsid w:val="003835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9772867">
      <w:bodyDiv w:val="1"/>
      <w:marLeft w:val="0"/>
      <w:marRight w:val="0"/>
      <w:marTop w:val="0"/>
      <w:marBottom w:val="0"/>
      <w:divBdr>
        <w:top w:val="none" w:sz="0" w:space="0" w:color="auto"/>
        <w:left w:val="none" w:sz="0" w:space="0" w:color="auto"/>
        <w:bottom w:val="none" w:sz="0" w:space="0" w:color="auto"/>
        <w:right w:val="none" w:sz="0" w:space="0" w:color="auto"/>
      </w:divBdr>
    </w:div>
    <w:div w:id="749469995">
      <w:bodyDiv w:val="1"/>
      <w:marLeft w:val="0"/>
      <w:marRight w:val="0"/>
      <w:marTop w:val="0"/>
      <w:marBottom w:val="0"/>
      <w:divBdr>
        <w:top w:val="none" w:sz="0" w:space="0" w:color="auto"/>
        <w:left w:val="none" w:sz="0" w:space="0" w:color="auto"/>
        <w:bottom w:val="none" w:sz="0" w:space="0" w:color="auto"/>
        <w:right w:val="none" w:sz="0" w:space="0" w:color="auto"/>
      </w:divBdr>
    </w:div>
    <w:div w:id="1203713657">
      <w:bodyDiv w:val="1"/>
      <w:marLeft w:val="0"/>
      <w:marRight w:val="0"/>
      <w:marTop w:val="0"/>
      <w:marBottom w:val="0"/>
      <w:divBdr>
        <w:top w:val="none" w:sz="0" w:space="0" w:color="auto"/>
        <w:left w:val="none" w:sz="0" w:space="0" w:color="auto"/>
        <w:bottom w:val="none" w:sz="0" w:space="0" w:color="auto"/>
        <w:right w:val="none" w:sz="0" w:space="0" w:color="auto"/>
      </w:divBdr>
    </w:div>
    <w:div w:id="188968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SP-5AIRPNAIUNRU-859666464-569</_dlc_DocId>
    <_dlc_DocIdUrl xmlns="71c5aaf6-e6ce-465b-b873-5148d2a4c105">
      <Url>https://nokia.sharepoint.com/sites/c5g/e2earch/_layouts/15/DocIdRedir.aspx?ID=SP-5AIRPNAIUNRU-859666464-569</Url>
      <Description>SP-5AIRPNAIUNRU-859666464-569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4B4F9-BD68-4ABB-8185-A2339E936D5A}">
  <ds:schemaRefs>
    <ds:schemaRef ds:uri="http://schemas.microsoft.com/sharepoint/v3/contenttype/forms"/>
  </ds:schemaRefs>
</ds:datastoreItem>
</file>

<file path=customXml/itemProps2.xml><?xml version="1.0" encoding="utf-8"?>
<ds:datastoreItem xmlns:ds="http://schemas.openxmlformats.org/officeDocument/2006/customXml" ds:itemID="{24AAB881-FE0C-4BAC-B645-34A2429153D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59C4093-E90B-410B-A66E-E13BC2236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D2D7C9-7EF0-455A-86B2-30C6B6D37EA6}">
  <ds:schemaRefs>
    <ds:schemaRef ds:uri="http://schemas.microsoft.com/sharepoint/events"/>
  </ds:schemaRefs>
</ds:datastoreItem>
</file>

<file path=customXml/itemProps5.xml><?xml version="1.0" encoding="utf-8"?>
<ds:datastoreItem xmlns:ds="http://schemas.openxmlformats.org/officeDocument/2006/customXml" ds:itemID="{BD7EE446-B70F-46D3-A6DB-6F6D97219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49</TotalTime>
  <Pages>3</Pages>
  <Words>1362</Words>
  <Characters>8175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9518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Viering, Ingo (EXT - DE/Munich)</dc:creator>
  <cp:lastModifiedBy>Dawid Koziol</cp:lastModifiedBy>
  <cp:revision>12</cp:revision>
  <dcterms:created xsi:type="dcterms:W3CDTF">2017-08-07T11:13:00Z</dcterms:created>
  <dcterms:modified xsi:type="dcterms:W3CDTF">2017-08-11T08:49:00Z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1dcf37a1-371f-4943-8654-a93b38364c8d</vt:lpwstr>
  </property>
</Properties>
</file>